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EMMY MARINA ARIPIN</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41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T23247</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PUBLIC HEALTH</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MEDICAL OFFICER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PONTIAN DISTRICT HEALTH OFFICE</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2022 - 69</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2021 - 77</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2020 - 132</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2021 - 90.73</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2020 - 90.10</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2019 - 92.13</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I'm well experienced in both hospital and public healthcare facility settings. I was appointed as Head of Quality Unit in 2019 till current and responsible to assure all quality improvement programmes are well implemented. To equip myself with necessary skill of management, I pursue study in Master of Business Administration, MBA with healthcare concentration at UTM and currently in my final semester. </w:t>
              <w:br/>
              <w:t>
       I'm seeking for platform that can improve my leadership skill further and I found TGP. </w:t>
              <w:br/>
              <w:t>
I'm resilience in term of achieving my goals. Apart from that, I have problem- solving skills especially in limited human and financial resources. I'm also care for others, where I'm usually sharing my knowledge and experiences and focus in staff empowerment. My emotional intelligence is fair and capable to maintain profesional relationship in any conflict.</w:t>
              <w:br/>
              <w:t>
      I belief TGP able to brush up my leadership skills and boost up my confidence level. I have an introvert personality and I hope TGP can fill the gap. By joining TGP, I wish I could expand my networking and learn from the best. </w:t>
              <w:br/>
              <w:t>
      In 5 years, I want to contribute by taking part as changing agent in any organisation in MOH. It is challenging with many other talents, but I will continue to evolve and become leader with quality. </w:t>
              <w:br/>
              <w:t>
      Finally, my proposed project will be related to healthcare economic and financing. Malaysia healthcare financing revenue is mainly from tax. To sustain high quality healthcare services, we need to develop future- proofed healthcare financial model.</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Keyakinan yang tinggi dengan kebolehan diri. Sangat suka kepada perkara yang baik dan positif. Mementingkan hubungan interpersonal. Boleh menyuarakan idea, pendapat dan perasaan dengan jelas dan berterus terang apabila berinteraksi dengan orang lain. Prihatin terhadap keperluan orang lain. Mampu berfikir dan membuat keputusan secara rasional tanpa mengikut emosi. Pasif, mengikut kata atau bersikap ketergantungan kepada orang lain. Seorang bertoleransi dan boleh bekerjasama dan mencapai kata sepakat dalam perbincangan dengan orang lain. Seorang yang bersikap fleksibel, spontan dan terbuka.</w:t>
              <w:br/>
              <w:t>
Kebolehpercayaan menjawab: Diragui (Sederhana).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HEALTH ECONOMIC - FACTORS INFLUENCING SUSTAINABILITY OF HEALTHCAREÂ </w: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HEALTH FINANCING - HEALTCHARE FINANCING IN MALAYSIA</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93.3</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86.7</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84.0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84.0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87.0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87.0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90.0%</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84.0%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86.7%</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i. One of the 5 candidates who fulfil the selection criteria. As a middle manager, exposure as a talent would be valuable.</w:t>
              <w:br/>
              <w:t>
ii. Competency assessment shows that the candidate needs some training to improve her leadership and professional value. Good reference from the referees. Received APC 3 times. Expressed her complete commitment in TGP. Personality test showed good assessment. Candidate is a potential TGP trainee.</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