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1BCC" w14:textId="0E20F409" w:rsidR="00323D13" w:rsidRDefault="000E02FE" w:rsidP="00080CBD">
      <w:pPr>
        <w:jc w:val="center"/>
        <w:rPr>
          <w:b/>
          <w:bCs/>
          <w:lang w:val="en-US"/>
        </w:rPr>
      </w:pPr>
      <w:r w:rsidRPr="00E11B25">
        <w:rPr>
          <w:b/>
          <w:bCs/>
          <w:lang w:val="en-US"/>
        </w:rPr>
        <w:t>Burnout Among Hospital Administrators</w:t>
      </w:r>
      <w:r w:rsidR="00A2115D">
        <w:rPr>
          <w:b/>
          <w:bCs/>
          <w:lang w:val="en-US"/>
        </w:rPr>
        <w:t xml:space="preserve"> Working</w:t>
      </w:r>
      <w:r w:rsidR="00E11B25" w:rsidRPr="00E11B25">
        <w:rPr>
          <w:b/>
          <w:bCs/>
          <w:lang w:val="en-US"/>
        </w:rPr>
        <w:t xml:space="preserve"> in Ministry of Health </w:t>
      </w:r>
      <w:r w:rsidR="00E11B25">
        <w:rPr>
          <w:b/>
          <w:bCs/>
          <w:lang w:val="en-US"/>
        </w:rPr>
        <w:t xml:space="preserve">(MOH) Malaysia </w:t>
      </w:r>
      <w:r w:rsidR="00A2115D">
        <w:rPr>
          <w:b/>
          <w:bCs/>
          <w:lang w:val="en-US"/>
        </w:rPr>
        <w:t>Hospitals</w:t>
      </w:r>
    </w:p>
    <w:p w14:paraId="3741746F" w14:textId="77777777" w:rsidR="00E11B25" w:rsidRPr="00E11B25" w:rsidRDefault="00E11B25" w:rsidP="00E11B25">
      <w:pPr>
        <w:jc w:val="center"/>
        <w:rPr>
          <w:b/>
          <w:bCs/>
          <w:lang w:val="en-US"/>
        </w:rPr>
      </w:pPr>
    </w:p>
    <w:p w14:paraId="2F2DEA9D" w14:textId="77777777" w:rsidR="00E11B25" w:rsidRDefault="00E11B25" w:rsidP="00E11B25">
      <w:pPr>
        <w:rPr>
          <w:lang w:val="en-US"/>
        </w:rPr>
      </w:pPr>
    </w:p>
    <w:p w14:paraId="498D170A" w14:textId="731F92AE" w:rsidR="00E11B25" w:rsidRPr="00E11B25" w:rsidRDefault="00E11B25" w:rsidP="00E11B25">
      <w:pPr>
        <w:jc w:val="both"/>
        <w:rPr>
          <w:b/>
          <w:bCs/>
          <w:lang w:val="en-US"/>
        </w:rPr>
      </w:pPr>
      <w:r>
        <w:rPr>
          <w:b/>
          <w:bCs/>
          <w:lang w:val="en-US"/>
        </w:rPr>
        <w:t xml:space="preserve">1.0 </w:t>
      </w:r>
      <w:r w:rsidRPr="00E11B25">
        <w:rPr>
          <w:b/>
          <w:bCs/>
          <w:lang w:val="en-US"/>
        </w:rPr>
        <w:t>Introduction</w:t>
      </w:r>
    </w:p>
    <w:p w14:paraId="17D50E52" w14:textId="77777777" w:rsidR="00E11B25" w:rsidRDefault="00E11B25" w:rsidP="00E11B25">
      <w:pPr>
        <w:jc w:val="both"/>
        <w:rPr>
          <w:lang w:val="en-US"/>
        </w:rPr>
      </w:pPr>
    </w:p>
    <w:p w14:paraId="68DE2817" w14:textId="2DB4F6D0" w:rsidR="00E11B25" w:rsidRPr="00E11B25" w:rsidRDefault="00E11B25" w:rsidP="00E11B25">
      <w:pPr>
        <w:pStyle w:val="ListParagraph"/>
        <w:numPr>
          <w:ilvl w:val="1"/>
          <w:numId w:val="2"/>
        </w:numPr>
        <w:jc w:val="both"/>
        <w:rPr>
          <w:rFonts w:ascii="Times New Roman" w:hAnsi="Times New Roman"/>
          <w:b/>
          <w:bCs/>
          <w:sz w:val="24"/>
          <w:szCs w:val="24"/>
          <w:lang w:val="en-US"/>
        </w:rPr>
      </w:pPr>
      <w:r w:rsidRPr="00E11B25">
        <w:rPr>
          <w:rFonts w:ascii="Times New Roman" w:hAnsi="Times New Roman"/>
          <w:b/>
          <w:bCs/>
          <w:sz w:val="24"/>
          <w:szCs w:val="24"/>
          <w:lang w:val="en-US"/>
        </w:rPr>
        <w:t>Background</w:t>
      </w:r>
    </w:p>
    <w:p w14:paraId="3D3DEC63" w14:textId="77777777" w:rsidR="00087823" w:rsidRPr="00087823" w:rsidRDefault="00087823" w:rsidP="00087823">
      <w:pPr>
        <w:autoSpaceDE w:val="0"/>
        <w:autoSpaceDN w:val="0"/>
        <w:adjustRightInd w:val="0"/>
        <w:jc w:val="both"/>
        <w:rPr>
          <w:color w:val="000000"/>
          <w14:ligatures w14:val="standardContextual"/>
        </w:rPr>
      </w:pPr>
      <w:r w:rsidRPr="00087823">
        <w:rPr>
          <w:color w:val="000000"/>
          <w14:ligatures w14:val="standardContextual"/>
        </w:rPr>
        <w:t>The healthcare sector is continuously evolving, leading to increasingly demanding and stressful working conditions in facilities like hospitals. In line with the World Health Organization's (WHO) definition, a healthy workplace is one where workers and managers collaborate to continually enhance the health, safety, and well-being of all employees, fostering a sustainable work environment.</w:t>
      </w:r>
    </w:p>
    <w:p w14:paraId="0BA27207" w14:textId="77777777" w:rsidR="00087823" w:rsidRPr="00087823" w:rsidRDefault="00087823" w:rsidP="00087823">
      <w:pPr>
        <w:autoSpaceDE w:val="0"/>
        <w:autoSpaceDN w:val="0"/>
        <w:adjustRightInd w:val="0"/>
        <w:jc w:val="both"/>
        <w:rPr>
          <w:color w:val="000000"/>
          <w14:ligatures w14:val="standardContextual"/>
        </w:rPr>
      </w:pPr>
    </w:p>
    <w:p w14:paraId="71FD24C5" w14:textId="77777777" w:rsidR="00087823" w:rsidRPr="00087823" w:rsidRDefault="00087823" w:rsidP="00087823">
      <w:pPr>
        <w:autoSpaceDE w:val="0"/>
        <w:autoSpaceDN w:val="0"/>
        <w:adjustRightInd w:val="0"/>
        <w:jc w:val="both"/>
        <w:rPr>
          <w:color w:val="000000"/>
          <w14:ligatures w14:val="standardContextual"/>
        </w:rPr>
      </w:pPr>
      <w:r w:rsidRPr="00087823">
        <w:rPr>
          <w:color w:val="000000"/>
          <w14:ligatures w14:val="standardContextual"/>
        </w:rPr>
        <w:t>Burnout, a work-related syndrome primarily affecting professions involving extensive human interaction, was first clinically identified by Herbert Freudenberger in the early 1970s. Notably, it is not classified as a medical condition by the International Classification of Disease (ICD-11). Burnout often arises from inadequately managed long-term workplace stress and primarily pertains to the occupational context, distinct from other life domains (WHO, 2019). Its origins are multifactorial, influenced by individual, occupational, personality, and coping factors (De Hert &amp; Burnout, 2020). Researchers often explore three dimensions of burnout: energy depletion or exhaustion, increased mental detachment from one's job, and reduced professional efficacy (WHO, 2019).</w:t>
      </w:r>
    </w:p>
    <w:p w14:paraId="17789C8B" w14:textId="77777777" w:rsidR="00087823" w:rsidRPr="00087823" w:rsidRDefault="00087823" w:rsidP="00087823">
      <w:pPr>
        <w:autoSpaceDE w:val="0"/>
        <w:autoSpaceDN w:val="0"/>
        <w:adjustRightInd w:val="0"/>
        <w:jc w:val="both"/>
        <w:rPr>
          <w:color w:val="000000"/>
          <w14:ligatures w14:val="standardContextual"/>
        </w:rPr>
      </w:pPr>
    </w:p>
    <w:p w14:paraId="091A4775" w14:textId="77777777" w:rsidR="00087823" w:rsidRPr="00087823" w:rsidRDefault="00087823" w:rsidP="00087823">
      <w:pPr>
        <w:autoSpaceDE w:val="0"/>
        <w:autoSpaceDN w:val="0"/>
        <w:adjustRightInd w:val="0"/>
        <w:jc w:val="both"/>
        <w:rPr>
          <w:color w:val="000000"/>
          <w14:ligatures w14:val="standardContextual"/>
        </w:rPr>
      </w:pPr>
      <w:r w:rsidRPr="00087823">
        <w:rPr>
          <w:color w:val="000000"/>
          <w14:ligatures w14:val="standardContextual"/>
        </w:rPr>
        <w:t>This study seeks to ascertain the prevalence of burnout syndrome among hospital administrators in MOH Malaysia Hospitals and to uncover the coping strategies they employ. It also aims to determine whether these findings correlate with relevant sociodemographic and professional characteristics. The insights gained from this research will serve as a crucial guide for planning and implementing preventive measures against burnout and promoting healthy coping strategies. Ultimately, these initiatives aspire to enhance working conditions and the overall quality of work and life for healthcare workers in Malaysian hospitals.</w:t>
      </w:r>
    </w:p>
    <w:p w14:paraId="50340781" w14:textId="77777777" w:rsidR="00087823" w:rsidRPr="00087823" w:rsidRDefault="00087823" w:rsidP="00087823">
      <w:pPr>
        <w:autoSpaceDE w:val="0"/>
        <w:autoSpaceDN w:val="0"/>
        <w:adjustRightInd w:val="0"/>
        <w:rPr>
          <w:color w:val="000000"/>
          <w14:ligatures w14:val="standardContextual"/>
        </w:rPr>
      </w:pPr>
    </w:p>
    <w:p w14:paraId="2C571EA7" w14:textId="2946E9D6" w:rsidR="00E11B25" w:rsidRPr="00E11B25" w:rsidRDefault="00E11B25" w:rsidP="00E11B25">
      <w:pPr>
        <w:autoSpaceDE w:val="0"/>
        <w:autoSpaceDN w:val="0"/>
        <w:adjustRightInd w:val="0"/>
        <w:rPr>
          <w:b/>
          <w:bCs/>
          <w:color w:val="000000"/>
          <w14:ligatures w14:val="standardContextual"/>
        </w:rPr>
      </w:pPr>
      <w:r w:rsidRPr="00E11B25">
        <w:rPr>
          <w:b/>
          <w:bCs/>
          <w:color w:val="000000"/>
          <w14:ligatures w14:val="standardContextual"/>
        </w:rPr>
        <w:t>1.2 Literature Review</w:t>
      </w:r>
    </w:p>
    <w:p w14:paraId="034468B3" w14:textId="77777777" w:rsidR="00E11B25" w:rsidRPr="00087823" w:rsidRDefault="00E11B25" w:rsidP="00E11B25">
      <w:pPr>
        <w:rPr>
          <w:rFonts w:ascii="URWPalladioL-Roma" w:hAnsi="URWPalladioL-Roma" w:cs="URWPalladioL-Roma"/>
          <w:color w:val="000000"/>
          <w:sz w:val="18"/>
          <w:szCs w:val="18"/>
          <w14:ligatures w14:val="standardContextual"/>
        </w:rPr>
      </w:pPr>
    </w:p>
    <w:p w14:paraId="0E7F1CB9" w14:textId="21FFACE4" w:rsidR="00087823" w:rsidRPr="00087823" w:rsidRDefault="00087823" w:rsidP="00087823">
      <w:pPr>
        <w:jc w:val="both"/>
        <w:rPr>
          <w:lang w:val="en-US"/>
        </w:rPr>
      </w:pPr>
      <w:r w:rsidRPr="00087823">
        <w:rPr>
          <w:lang w:val="en-US"/>
        </w:rPr>
        <w:t>Burnout is a prevalent issue across various professions, including hospital administrators, impacting individuals at various stages of their medical careers, such as medical students, house officers, medical officers, and specialists (Tajirian et al., 2020). Notably, a national report highlights that approximately 26.5% of junior doctors in Malaysia face burnout, with a higher prevalence among those with less than six months of experience and those assigned to emergency postings (Zuraida, Zainal, &amp; Zainal, 2015). Moreover, the statistics indicate that doctors, in particular, are more susceptible to burnout (51%) compared to other healthcare professionals like nurses, assistant medical officers, and hospital attendants (Siau et al., 2018).</w:t>
      </w:r>
    </w:p>
    <w:p w14:paraId="3D7D9E87" w14:textId="77777777" w:rsidR="00087823" w:rsidRPr="00087823" w:rsidRDefault="00087823" w:rsidP="00087823">
      <w:pPr>
        <w:jc w:val="both"/>
        <w:rPr>
          <w:b/>
          <w:bCs/>
          <w:lang w:val="en-US"/>
        </w:rPr>
      </w:pPr>
    </w:p>
    <w:p w14:paraId="2ED34A84" w14:textId="17377929" w:rsidR="00427734" w:rsidRPr="00087823" w:rsidRDefault="00087823" w:rsidP="00087823">
      <w:pPr>
        <w:jc w:val="both"/>
        <w:rPr>
          <w:lang w:val="en-US"/>
        </w:rPr>
      </w:pPr>
      <w:r w:rsidRPr="00087823">
        <w:rPr>
          <w:lang w:val="en-US"/>
        </w:rPr>
        <w:t>Further analysis reveals that among doctors in Malaysia, those working in the pediatric department exhibit a higher likelihood of experiencing burnout when compared to their counterparts in departments such as accident and emergency, medical, orthopedics, psychiatry, obstetrics and gynecology, and surgery (Siau et al., 2018).</w:t>
      </w:r>
    </w:p>
    <w:p w14:paraId="418A816C" w14:textId="77777777" w:rsidR="00427734" w:rsidRDefault="00427734" w:rsidP="00E11B25">
      <w:pPr>
        <w:jc w:val="both"/>
        <w:rPr>
          <w:lang w:val="en-US"/>
        </w:rPr>
      </w:pPr>
    </w:p>
    <w:p w14:paraId="772CCA48" w14:textId="77777777" w:rsidR="007F3448" w:rsidRDefault="007F3448" w:rsidP="00E11B25">
      <w:pPr>
        <w:jc w:val="both"/>
        <w:rPr>
          <w:lang w:val="en-US"/>
        </w:rPr>
      </w:pPr>
    </w:p>
    <w:p w14:paraId="55830619" w14:textId="77777777" w:rsidR="007F3448" w:rsidRPr="00087823" w:rsidRDefault="007F3448" w:rsidP="00E11B25">
      <w:pPr>
        <w:jc w:val="both"/>
        <w:rPr>
          <w:lang w:val="en-US"/>
        </w:rPr>
      </w:pPr>
    </w:p>
    <w:p w14:paraId="41FA6C02" w14:textId="3F0E595A" w:rsidR="00D13B25" w:rsidRPr="00D13B25" w:rsidRDefault="00D13B25" w:rsidP="00D13B25">
      <w:pPr>
        <w:pStyle w:val="ListParagraph"/>
        <w:numPr>
          <w:ilvl w:val="1"/>
          <w:numId w:val="2"/>
        </w:numPr>
        <w:jc w:val="both"/>
        <w:rPr>
          <w:rFonts w:ascii="Times New Roman" w:hAnsi="Times New Roman"/>
          <w:b/>
          <w:bCs/>
          <w:sz w:val="24"/>
          <w:szCs w:val="24"/>
          <w:lang w:val="en-US"/>
        </w:rPr>
      </w:pPr>
      <w:r w:rsidRPr="00D13B25">
        <w:rPr>
          <w:rFonts w:ascii="Times New Roman" w:hAnsi="Times New Roman"/>
          <w:b/>
          <w:bCs/>
          <w:sz w:val="24"/>
          <w:szCs w:val="24"/>
          <w:lang w:val="en-US"/>
        </w:rPr>
        <w:lastRenderedPageBreak/>
        <w:t xml:space="preserve">Study Objectives </w:t>
      </w:r>
    </w:p>
    <w:p w14:paraId="44811CCE" w14:textId="77777777" w:rsidR="00D13B25" w:rsidRPr="00D13B25" w:rsidRDefault="00D13B25" w:rsidP="00D13B25">
      <w:pPr>
        <w:pStyle w:val="ListParagraph"/>
        <w:ind w:left="360"/>
        <w:jc w:val="both"/>
        <w:rPr>
          <w:rFonts w:ascii="Times New Roman" w:hAnsi="Times New Roman"/>
          <w:sz w:val="24"/>
          <w:szCs w:val="24"/>
          <w:lang w:val="en-US"/>
        </w:rPr>
      </w:pPr>
    </w:p>
    <w:p w14:paraId="4FF9723D" w14:textId="00180CD9" w:rsidR="00D13B25" w:rsidRPr="00D13B25" w:rsidRDefault="00D13B25" w:rsidP="00D13B25">
      <w:pPr>
        <w:pStyle w:val="ListParagraph"/>
        <w:numPr>
          <w:ilvl w:val="2"/>
          <w:numId w:val="2"/>
        </w:numPr>
        <w:jc w:val="both"/>
        <w:rPr>
          <w:rFonts w:ascii="Times New Roman" w:hAnsi="Times New Roman"/>
          <w:b/>
          <w:bCs/>
          <w:sz w:val="24"/>
          <w:szCs w:val="24"/>
          <w:lang w:val="en-US"/>
        </w:rPr>
      </w:pPr>
      <w:r w:rsidRPr="00D13B25">
        <w:rPr>
          <w:rFonts w:ascii="Times New Roman" w:hAnsi="Times New Roman"/>
          <w:b/>
          <w:bCs/>
          <w:sz w:val="24"/>
          <w:szCs w:val="24"/>
          <w:lang w:val="en-US"/>
        </w:rPr>
        <w:t>General Objective</w:t>
      </w:r>
    </w:p>
    <w:p w14:paraId="276543EF" w14:textId="573A7402" w:rsidR="00D13B25" w:rsidRPr="00D13B25" w:rsidRDefault="00087823" w:rsidP="00D13B25">
      <w:pPr>
        <w:jc w:val="both"/>
        <w:rPr>
          <w:lang w:val="en-US"/>
        </w:rPr>
      </w:pPr>
      <w:r w:rsidRPr="00087823">
        <w:rPr>
          <w:lang w:val="en-US"/>
        </w:rPr>
        <w:t>The primary aim of this study is to assess the occurrence of burnout syndrome among hospital administrators in MOH Malaysia and explore the factors linked to it</w:t>
      </w:r>
    </w:p>
    <w:p w14:paraId="13E844E9" w14:textId="77777777" w:rsidR="00087823" w:rsidRDefault="00087823" w:rsidP="00D13B25">
      <w:pPr>
        <w:jc w:val="both"/>
        <w:rPr>
          <w:b/>
          <w:bCs/>
          <w:lang w:val="en-US"/>
        </w:rPr>
      </w:pPr>
    </w:p>
    <w:p w14:paraId="72EBECFB" w14:textId="78815008" w:rsidR="00D13B25" w:rsidRPr="00D13B25" w:rsidRDefault="00D13B25" w:rsidP="00D13B25">
      <w:pPr>
        <w:jc w:val="both"/>
        <w:rPr>
          <w:b/>
          <w:bCs/>
          <w:lang w:val="en-US"/>
        </w:rPr>
      </w:pPr>
      <w:r w:rsidRPr="00D13B25">
        <w:rPr>
          <w:b/>
          <w:bCs/>
          <w:lang w:val="en-US"/>
        </w:rPr>
        <w:t>1.2.2 Specific Objectives</w:t>
      </w:r>
    </w:p>
    <w:p w14:paraId="7A4833AD" w14:textId="77777777" w:rsidR="00D13B25" w:rsidRDefault="00D13B25" w:rsidP="00D13B25">
      <w:pPr>
        <w:jc w:val="both"/>
        <w:rPr>
          <w:lang w:val="en-US"/>
        </w:rPr>
      </w:pPr>
    </w:p>
    <w:p w14:paraId="67B255E1" w14:textId="77777777" w:rsidR="00087823" w:rsidRPr="00087823" w:rsidRDefault="00087823" w:rsidP="00087823">
      <w:pPr>
        <w:jc w:val="both"/>
        <w:rPr>
          <w:lang w:val="en-US"/>
        </w:rPr>
      </w:pPr>
      <w:r w:rsidRPr="00087823">
        <w:rPr>
          <w:lang w:val="en-US"/>
        </w:rPr>
        <w:t>The study's specific goals are as follows:</w:t>
      </w:r>
    </w:p>
    <w:p w14:paraId="3F957700" w14:textId="77777777" w:rsidR="00087823" w:rsidRPr="00087823" w:rsidRDefault="00087823" w:rsidP="00087823">
      <w:pPr>
        <w:ind w:left="720"/>
        <w:jc w:val="both"/>
        <w:rPr>
          <w:lang w:val="en-US"/>
        </w:rPr>
      </w:pPr>
    </w:p>
    <w:p w14:paraId="640301CE" w14:textId="77777777" w:rsidR="00087823" w:rsidRPr="00087823" w:rsidRDefault="00087823" w:rsidP="00087823">
      <w:pPr>
        <w:ind w:left="720"/>
        <w:jc w:val="both"/>
        <w:rPr>
          <w:lang w:val="en-US"/>
        </w:rPr>
      </w:pPr>
      <w:r w:rsidRPr="00087823">
        <w:rPr>
          <w:lang w:val="en-US"/>
        </w:rPr>
        <w:t>i. To investigate the sociodemographic and professional variables linked to burnout among hospital administrators in MOH Malaysia.</w:t>
      </w:r>
    </w:p>
    <w:p w14:paraId="62692EA0" w14:textId="77777777" w:rsidR="00087823" w:rsidRPr="00087823" w:rsidRDefault="00087823" w:rsidP="00087823">
      <w:pPr>
        <w:ind w:left="720"/>
        <w:jc w:val="both"/>
        <w:rPr>
          <w:lang w:val="en-US"/>
        </w:rPr>
      </w:pPr>
    </w:p>
    <w:p w14:paraId="782E9473" w14:textId="77777777" w:rsidR="00087823" w:rsidRPr="00087823" w:rsidRDefault="00087823" w:rsidP="00087823">
      <w:pPr>
        <w:ind w:left="720"/>
        <w:jc w:val="both"/>
        <w:rPr>
          <w:lang w:val="en-US"/>
        </w:rPr>
      </w:pPr>
      <w:r w:rsidRPr="00087823">
        <w:rPr>
          <w:lang w:val="en-US"/>
        </w:rPr>
        <w:t>ii. To uncover the factors connected to burnout among hospital administrators in MOH Malaysia.</w:t>
      </w:r>
    </w:p>
    <w:p w14:paraId="2E02084C" w14:textId="77777777" w:rsidR="00087823" w:rsidRPr="00087823" w:rsidRDefault="00087823" w:rsidP="00087823">
      <w:pPr>
        <w:ind w:left="720"/>
        <w:jc w:val="both"/>
        <w:rPr>
          <w:lang w:val="en-US"/>
        </w:rPr>
      </w:pPr>
    </w:p>
    <w:p w14:paraId="0F72B70A" w14:textId="1F0523A7" w:rsidR="00427734" w:rsidRDefault="00087823" w:rsidP="00087823">
      <w:pPr>
        <w:ind w:left="720"/>
        <w:jc w:val="both"/>
        <w:rPr>
          <w:lang w:val="en-US"/>
        </w:rPr>
      </w:pPr>
      <w:r w:rsidRPr="00087823">
        <w:rPr>
          <w:lang w:val="en-US"/>
        </w:rPr>
        <w:t>iii. To identify the determinants of burnout among hospital administrators in MOH Malaysia.</w:t>
      </w:r>
    </w:p>
    <w:p w14:paraId="56B7EDCA" w14:textId="77777777" w:rsidR="00087823" w:rsidRPr="00087823" w:rsidRDefault="00087823" w:rsidP="00087823">
      <w:pPr>
        <w:jc w:val="both"/>
        <w:rPr>
          <w:lang w:val="en-US"/>
        </w:rPr>
      </w:pPr>
    </w:p>
    <w:p w14:paraId="68202103" w14:textId="5934D3A2" w:rsidR="00427734" w:rsidRDefault="00D13B25" w:rsidP="00E11B25">
      <w:pPr>
        <w:jc w:val="both"/>
        <w:rPr>
          <w:b/>
          <w:bCs/>
          <w:lang w:val="en-US"/>
        </w:rPr>
      </w:pPr>
      <w:r>
        <w:rPr>
          <w:b/>
          <w:bCs/>
          <w:lang w:val="en-US"/>
        </w:rPr>
        <w:t>2.0 Methodology</w:t>
      </w:r>
    </w:p>
    <w:p w14:paraId="53285DA5" w14:textId="77777777" w:rsidR="00D13B25" w:rsidRDefault="00D13B25" w:rsidP="00E11B25">
      <w:pPr>
        <w:jc w:val="both"/>
        <w:rPr>
          <w:b/>
          <w:bCs/>
          <w:lang w:val="en-US"/>
        </w:rPr>
      </w:pPr>
    </w:p>
    <w:p w14:paraId="19D33853" w14:textId="77777777" w:rsidR="00D13B25" w:rsidRPr="00D13B25" w:rsidRDefault="00D13B25" w:rsidP="00D13B25">
      <w:pPr>
        <w:jc w:val="both"/>
        <w:rPr>
          <w:b/>
          <w:bCs/>
          <w:lang w:val="en-US"/>
        </w:rPr>
      </w:pPr>
      <w:r w:rsidRPr="00D13B25">
        <w:rPr>
          <w:b/>
          <w:bCs/>
          <w:lang w:val="en-US"/>
        </w:rPr>
        <w:t>2.1</w:t>
      </w:r>
      <w:r w:rsidRPr="00D13B25">
        <w:rPr>
          <w:b/>
          <w:bCs/>
          <w:lang w:val="en-US"/>
        </w:rPr>
        <w:tab/>
        <w:t>Study Design</w:t>
      </w:r>
    </w:p>
    <w:p w14:paraId="572495A1" w14:textId="77777777" w:rsidR="00D13B25" w:rsidRPr="00D13B25" w:rsidRDefault="00D13B25" w:rsidP="00D13B25">
      <w:pPr>
        <w:jc w:val="both"/>
        <w:rPr>
          <w:b/>
          <w:bCs/>
          <w:lang w:val="en-US"/>
        </w:rPr>
      </w:pPr>
    </w:p>
    <w:p w14:paraId="305E9473" w14:textId="31DFB61A" w:rsidR="00D13B25" w:rsidRPr="00D13B25" w:rsidRDefault="00087823" w:rsidP="00D13B25">
      <w:pPr>
        <w:jc w:val="both"/>
        <w:rPr>
          <w:lang w:val="en-US"/>
        </w:rPr>
      </w:pPr>
      <w:r w:rsidRPr="00087823">
        <w:rPr>
          <w:lang w:val="en-US"/>
        </w:rPr>
        <w:t>The study will adopt a quantitative cross-sectional approach and will take place between January 2024 and February 2024, involving the participation of all 149 hospital administrators within MOH hospitals.</w:t>
      </w:r>
    </w:p>
    <w:p w14:paraId="044C7C15" w14:textId="77777777" w:rsidR="00087823" w:rsidRDefault="00087823" w:rsidP="00D13B25">
      <w:pPr>
        <w:jc w:val="both"/>
        <w:rPr>
          <w:b/>
          <w:bCs/>
          <w:lang w:val="en-US"/>
        </w:rPr>
      </w:pPr>
    </w:p>
    <w:p w14:paraId="0C500359" w14:textId="6E59C0F5" w:rsidR="00D13B25" w:rsidRPr="00D13B25" w:rsidRDefault="00D13B25" w:rsidP="00D13B25">
      <w:pPr>
        <w:jc w:val="both"/>
        <w:rPr>
          <w:b/>
          <w:bCs/>
          <w:lang w:val="en-US"/>
        </w:rPr>
      </w:pPr>
      <w:r w:rsidRPr="00D13B25">
        <w:rPr>
          <w:b/>
          <w:bCs/>
          <w:lang w:val="en-US"/>
        </w:rPr>
        <w:t>2.2</w:t>
      </w:r>
      <w:r w:rsidRPr="00D13B25">
        <w:rPr>
          <w:b/>
          <w:bCs/>
          <w:lang w:val="en-US"/>
        </w:rPr>
        <w:tab/>
        <w:t>Study Population</w:t>
      </w:r>
    </w:p>
    <w:p w14:paraId="3879AD4A" w14:textId="77777777" w:rsidR="00D13B25" w:rsidRDefault="00D13B25" w:rsidP="00D13B25">
      <w:pPr>
        <w:jc w:val="both"/>
        <w:rPr>
          <w:b/>
          <w:bCs/>
          <w:lang w:val="en-US"/>
        </w:rPr>
      </w:pPr>
    </w:p>
    <w:p w14:paraId="1DB14413" w14:textId="77777777" w:rsidR="00087823" w:rsidRPr="00087823" w:rsidRDefault="00087823" w:rsidP="00087823">
      <w:pPr>
        <w:jc w:val="both"/>
        <w:rPr>
          <w:lang w:val="en-US"/>
        </w:rPr>
      </w:pPr>
      <w:r w:rsidRPr="00087823">
        <w:rPr>
          <w:lang w:val="en-US"/>
        </w:rPr>
        <w:t>The study will focus on the target population, which comprises individuals holding positions as hospital administrators within MOH hospitals. Hospital administrators, in this context, are individuals responsible for overseeing the day-to-day operations of a hospital, ensuring the delivery of high-quality patient care. They utilize their administrative skills to strategize and coordinate medical services and treatment options, taking into account hospital budgets, available funding, and available resources. Furthermore, they play a pivotal role in setting objectives and evaluating the performance of healthcare providers and other medical staff.</w:t>
      </w:r>
    </w:p>
    <w:p w14:paraId="348D60C0" w14:textId="77777777" w:rsidR="00087823" w:rsidRPr="00087823" w:rsidRDefault="00087823" w:rsidP="00087823">
      <w:pPr>
        <w:jc w:val="both"/>
        <w:rPr>
          <w:lang w:val="en-US"/>
        </w:rPr>
      </w:pPr>
    </w:p>
    <w:p w14:paraId="2EC5630B" w14:textId="77777777" w:rsidR="00087823" w:rsidRPr="00087823" w:rsidRDefault="00087823" w:rsidP="00087823">
      <w:pPr>
        <w:jc w:val="both"/>
        <w:rPr>
          <w:lang w:val="en-US"/>
        </w:rPr>
      </w:pPr>
      <w:r w:rsidRPr="00087823">
        <w:rPr>
          <w:lang w:val="en-US"/>
        </w:rPr>
        <w:t>a. Inclusion Criteria:</w:t>
      </w:r>
    </w:p>
    <w:p w14:paraId="657566CC" w14:textId="77777777" w:rsidR="00087823" w:rsidRPr="00087823" w:rsidRDefault="00087823" w:rsidP="00087823">
      <w:pPr>
        <w:ind w:left="720"/>
        <w:jc w:val="both"/>
        <w:rPr>
          <w:lang w:val="en-US"/>
        </w:rPr>
      </w:pPr>
      <w:r w:rsidRPr="00087823">
        <w:rPr>
          <w:lang w:val="en-US"/>
        </w:rPr>
        <w:t>• Hospital administrators from all grades, categories, or departments, employed in any public MOH hospital.</w:t>
      </w:r>
    </w:p>
    <w:p w14:paraId="63F59D17" w14:textId="77777777" w:rsidR="00087823" w:rsidRPr="00087823" w:rsidRDefault="00087823" w:rsidP="00087823">
      <w:pPr>
        <w:ind w:left="720"/>
        <w:jc w:val="both"/>
        <w:rPr>
          <w:lang w:val="en-US"/>
        </w:rPr>
      </w:pPr>
      <w:r w:rsidRPr="00087823">
        <w:rPr>
          <w:lang w:val="en-US"/>
        </w:rPr>
        <w:t>• Healthcare workers (HCWs) from diverse backgrounds, including specialists, non-specialists, medical officers (MOs), assistant MOs, and nurses.</w:t>
      </w:r>
    </w:p>
    <w:p w14:paraId="6098544B" w14:textId="77777777" w:rsidR="00087823" w:rsidRPr="00087823" w:rsidRDefault="00087823" w:rsidP="00087823">
      <w:pPr>
        <w:ind w:left="720"/>
        <w:jc w:val="both"/>
        <w:rPr>
          <w:lang w:val="en-US"/>
        </w:rPr>
      </w:pPr>
      <w:r w:rsidRPr="00087823">
        <w:rPr>
          <w:lang w:val="en-US"/>
        </w:rPr>
        <w:t>• Individuals who are presently employed at one of the 149 MOH hospitals.</w:t>
      </w:r>
    </w:p>
    <w:p w14:paraId="4EE6B263" w14:textId="77777777" w:rsidR="00087823" w:rsidRPr="00087823" w:rsidRDefault="00087823" w:rsidP="00087823">
      <w:pPr>
        <w:jc w:val="both"/>
        <w:rPr>
          <w:lang w:val="en-US"/>
        </w:rPr>
      </w:pPr>
    </w:p>
    <w:p w14:paraId="03566473" w14:textId="77777777" w:rsidR="00087823" w:rsidRPr="00087823" w:rsidRDefault="00087823" w:rsidP="00087823">
      <w:pPr>
        <w:jc w:val="both"/>
        <w:rPr>
          <w:lang w:val="en-US"/>
        </w:rPr>
      </w:pPr>
      <w:r w:rsidRPr="00087823">
        <w:rPr>
          <w:lang w:val="en-US"/>
        </w:rPr>
        <w:t>b. Exclusion Criteria:</w:t>
      </w:r>
    </w:p>
    <w:p w14:paraId="24583325" w14:textId="77777777" w:rsidR="00087823" w:rsidRPr="00087823" w:rsidRDefault="00087823" w:rsidP="00087823">
      <w:pPr>
        <w:ind w:left="720"/>
        <w:jc w:val="both"/>
        <w:rPr>
          <w:lang w:val="en-US"/>
        </w:rPr>
      </w:pPr>
      <w:r w:rsidRPr="00087823">
        <w:rPr>
          <w:lang w:val="en-US"/>
        </w:rPr>
        <w:t>• Hospital administrators who are on extended leave or have been absent for more than one week, such as those on study leave, maternity leave, or undergoing training.</w:t>
      </w:r>
    </w:p>
    <w:p w14:paraId="66AEE217" w14:textId="77777777" w:rsidR="00087823" w:rsidRPr="00087823" w:rsidRDefault="00087823" w:rsidP="00087823">
      <w:pPr>
        <w:ind w:left="720"/>
        <w:jc w:val="both"/>
        <w:rPr>
          <w:lang w:val="en-US"/>
        </w:rPr>
      </w:pPr>
      <w:r w:rsidRPr="00087823">
        <w:rPr>
          <w:lang w:val="en-US"/>
        </w:rPr>
        <w:t>• Individuals not affiliated with MOH as staff or students.</w:t>
      </w:r>
    </w:p>
    <w:p w14:paraId="2CFDAA40" w14:textId="5E24696A" w:rsidR="00087823" w:rsidRDefault="00087823" w:rsidP="00087823">
      <w:pPr>
        <w:ind w:left="720"/>
        <w:jc w:val="both"/>
        <w:rPr>
          <w:lang w:val="en-US"/>
        </w:rPr>
      </w:pPr>
      <w:r w:rsidRPr="00087823">
        <w:rPr>
          <w:lang w:val="en-US"/>
        </w:rPr>
        <w:lastRenderedPageBreak/>
        <w:t>• Hospital administrators currently diagnosed with mental illnesses and undergoing treatment.</w:t>
      </w:r>
    </w:p>
    <w:p w14:paraId="5EFD7D6E" w14:textId="77777777" w:rsidR="00087823" w:rsidRPr="00087823" w:rsidRDefault="00087823" w:rsidP="00087823">
      <w:pPr>
        <w:ind w:left="720"/>
        <w:jc w:val="both"/>
        <w:rPr>
          <w:lang w:val="en-US"/>
        </w:rPr>
      </w:pPr>
    </w:p>
    <w:p w14:paraId="4B7EF12E" w14:textId="77777777" w:rsidR="00D13B25" w:rsidRPr="00D13B25" w:rsidRDefault="00D13B25" w:rsidP="00D13B25">
      <w:pPr>
        <w:jc w:val="both"/>
        <w:rPr>
          <w:b/>
          <w:bCs/>
          <w:lang w:val="en-US"/>
        </w:rPr>
      </w:pPr>
      <w:r w:rsidRPr="00D13B25">
        <w:rPr>
          <w:b/>
          <w:bCs/>
          <w:lang w:val="en-US"/>
        </w:rPr>
        <w:t>2.3</w:t>
      </w:r>
      <w:r w:rsidRPr="00D13B25">
        <w:rPr>
          <w:b/>
          <w:bCs/>
          <w:lang w:val="en-US"/>
        </w:rPr>
        <w:tab/>
        <w:t>Sample Size Determination</w:t>
      </w:r>
    </w:p>
    <w:p w14:paraId="4B4DF3AF" w14:textId="77777777" w:rsidR="00087823" w:rsidRPr="00087823" w:rsidRDefault="00087823" w:rsidP="00087823">
      <w:pPr>
        <w:jc w:val="both"/>
        <w:rPr>
          <w:lang w:val="en-US"/>
        </w:rPr>
      </w:pPr>
      <w:r w:rsidRPr="00087823">
        <w:rPr>
          <w:lang w:val="en-US"/>
        </w:rPr>
        <w:t>The determination of the sample size was based on three key factors:</w:t>
      </w:r>
    </w:p>
    <w:p w14:paraId="3E1A6D6C" w14:textId="77777777" w:rsidR="00087823" w:rsidRPr="00087823" w:rsidRDefault="00087823" w:rsidP="007F3448">
      <w:pPr>
        <w:ind w:left="720"/>
        <w:jc w:val="both"/>
        <w:rPr>
          <w:lang w:val="en-US"/>
        </w:rPr>
      </w:pPr>
      <w:r w:rsidRPr="00087823">
        <w:rPr>
          <w:lang w:val="en-US"/>
        </w:rPr>
        <w:t>i. The estimated prevalence of burnout among hospital administrators.</w:t>
      </w:r>
    </w:p>
    <w:p w14:paraId="16E4A23A" w14:textId="77777777" w:rsidR="00087823" w:rsidRPr="00087823" w:rsidRDefault="00087823" w:rsidP="007F3448">
      <w:pPr>
        <w:ind w:left="720"/>
        <w:jc w:val="both"/>
        <w:rPr>
          <w:lang w:val="en-US"/>
        </w:rPr>
      </w:pPr>
      <w:r w:rsidRPr="00087823">
        <w:rPr>
          <w:lang w:val="en-US"/>
        </w:rPr>
        <w:t>ii. A confidence level of 95%.</w:t>
      </w:r>
    </w:p>
    <w:p w14:paraId="5C304450" w14:textId="77777777" w:rsidR="00087823" w:rsidRPr="00087823" w:rsidRDefault="00087823" w:rsidP="007F3448">
      <w:pPr>
        <w:ind w:left="720"/>
        <w:jc w:val="both"/>
        <w:rPr>
          <w:lang w:val="en-US"/>
        </w:rPr>
      </w:pPr>
      <w:r w:rsidRPr="00087823">
        <w:rPr>
          <w:lang w:val="en-US"/>
        </w:rPr>
        <w:t>iii. A margin of error ranging from 0.01 to 0.05.</w:t>
      </w:r>
    </w:p>
    <w:p w14:paraId="42B9A893" w14:textId="77777777" w:rsidR="00087823" w:rsidRPr="00087823" w:rsidRDefault="00087823" w:rsidP="00087823">
      <w:pPr>
        <w:jc w:val="both"/>
        <w:rPr>
          <w:lang w:val="en-US"/>
        </w:rPr>
      </w:pPr>
    </w:p>
    <w:p w14:paraId="6784DE60" w14:textId="77777777" w:rsidR="00087823" w:rsidRPr="00087823" w:rsidRDefault="00087823" w:rsidP="00087823">
      <w:pPr>
        <w:jc w:val="both"/>
        <w:rPr>
          <w:lang w:val="en-US"/>
        </w:rPr>
      </w:pPr>
      <w:r w:rsidRPr="00087823">
        <w:rPr>
          <w:lang w:val="en-US"/>
        </w:rPr>
        <w:t>The necessary sample size was calculated using the following formula:</w:t>
      </w:r>
    </w:p>
    <w:p w14:paraId="6F53F3F2" w14:textId="77777777" w:rsidR="00087823" w:rsidRPr="00087823" w:rsidRDefault="00087823" w:rsidP="00087823">
      <w:pPr>
        <w:jc w:val="both"/>
        <w:rPr>
          <w:lang w:val="en-US"/>
        </w:rPr>
      </w:pPr>
    </w:p>
    <w:p w14:paraId="02C27A69" w14:textId="77777777" w:rsidR="00087823" w:rsidRPr="00087823" w:rsidRDefault="00087823" w:rsidP="00087823">
      <w:pPr>
        <w:jc w:val="both"/>
        <w:rPr>
          <w:lang w:val="en-US"/>
        </w:rPr>
      </w:pPr>
      <w:r w:rsidRPr="00087823">
        <w:rPr>
          <w:lang w:val="en-US"/>
        </w:rPr>
        <w:t>n = (z² x p(1-p)) / d²</w:t>
      </w:r>
    </w:p>
    <w:p w14:paraId="79DECC68" w14:textId="77777777" w:rsidR="00087823" w:rsidRPr="00087823" w:rsidRDefault="00087823" w:rsidP="00087823">
      <w:pPr>
        <w:jc w:val="both"/>
        <w:rPr>
          <w:lang w:val="en-US"/>
        </w:rPr>
      </w:pPr>
    </w:p>
    <w:p w14:paraId="7354AFCF" w14:textId="77777777" w:rsidR="00087823" w:rsidRPr="00087823" w:rsidRDefault="00087823" w:rsidP="00087823">
      <w:pPr>
        <w:jc w:val="both"/>
        <w:rPr>
          <w:lang w:val="en-US"/>
        </w:rPr>
      </w:pPr>
      <w:r w:rsidRPr="00087823">
        <w:rPr>
          <w:lang w:val="en-US"/>
        </w:rPr>
        <w:t>Where:</w:t>
      </w:r>
    </w:p>
    <w:p w14:paraId="12E99D0D" w14:textId="77777777" w:rsidR="00087823" w:rsidRPr="00087823" w:rsidRDefault="00087823" w:rsidP="00087823">
      <w:pPr>
        <w:jc w:val="both"/>
        <w:rPr>
          <w:lang w:val="en-US"/>
        </w:rPr>
      </w:pPr>
      <w:r w:rsidRPr="00087823">
        <w:rPr>
          <w:lang w:val="en-US"/>
        </w:rPr>
        <w:t>n = required sample size</w:t>
      </w:r>
    </w:p>
    <w:p w14:paraId="273AB126" w14:textId="77777777" w:rsidR="00087823" w:rsidRPr="00087823" w:rsidRDefault="00087823" w:rsidP="00087823">
      <w:pPr>
        <w:jc w:val="both"/>
        <w:rPr>
          <w:lang w:val="en-US"/>
        </w:rPr>
      </w:pPr>
      <w:r w:rsidRPr="00087823">
        <w:rPr>
          <w:lang w:val="en-US"/>
        </w:rPr>
        <w:t>z = confidence level at 95% (standard value of 1.96)</w:t>
      </w:r>
    </w:p>
    <w:p w14:paraId="11AAC5D7" w14:textId="77777777" w:rsidR="00087823" w:rsidRPr="00087823" w:rsidRDefault="00087823" w:rsidP="00087823">
      <w:pPr>
        <w:jc w:val="both"/>
        <w:rPr>
          <w:lang w:val="en-US"/>
        </w:rPr>
      </w:pPr>
      <w:r w:rsidRPr="00087823">
        <w:rPr>
          <w:lang w:val="en-US"/>
        </w:rPr>
        <w:t>p = estimated prevalence of burnout (27.3%) (Siau et al., 2018)</w:t>
      </w:r>
    </w:p>
    <w:p w14:paraId="5F748413" w14:textId="77777777" w:rsidR="00087823" w:rsidRPr="00087823" w:rsidRDefault="00087823" w:rsidP="00087823">
      <w:pPr>
        <w:jc w:val="both"/>
        <w:rPr>
          <w:lang w:val="en-US"/>
        </w:rPr>
      </w:pPr>
      <w:r w:rsidRPr="00087823">
        <w:rPr>
          <w:lang w:val="en-US"/>
        </w:rPr>
        <w:t>d = margin of error at 5% (standard value of 0.05)</w:t>
      </w:r>
    </w:p>
    <w:p w14:paraId="13FBA4DF" w14:textId="77777777" w:rsidR="00087823" w:rsidRPr="00087823" w:rsidRDefault="00087823" w:rsidP="00087823">
      <w:pPr>
        <w:jc w:val="both"/>
        <w:rPr>
          <w:lang w:val="en-US"/>
        </w:rPr>
      </w:pPr>
    </w:p>
    <w:p w14:paraId="37F0BBEE" w14:textId="77777777" w:rsidR="00087823" w:rsidRPr="00087823" w:rsidRDefault="00087823" w:rsidP="00087823">
      <w:pPr>
        <w:jc w:val="both"/>
        <w:rPr>
          <w:lang w:val="en-US"/>
        </w:rPr>
      </w:pPr>
      <w:r w:rsidRPr="00087823">
        <w:rPr>
          <w:lang w:val="en-US"/>
        </w:rPr>
        <w:t>Calculations:</w:t>
      </w:r>
    </w:p>
    <w:p w14:paraId="296666CA" w14:textId="77777777" w:rsidR="00087823" w:rsidRPr="00087823" w:rsidRDefault="00087823" w:rsidP="00087823">
      <w:pPr>
        <w:jc w:val="both"/>
        <w:rPr>
          <w:lang w:val="en-US"/>
        </w:rPr>
      </w:pPr>
      <w:r w:rsidRPr="00087823">
        <w:rPr>
          <w:lang w:val="en-US"/>
        </w:rPr>
        <w:t>n = (1.96² x 0.273 x (1-0.273)) / 0.05²</w:t>
      </w:r>
    </w:p>
    <w:p w14:paraId="5882183E" w14:textId="77777777" w:rsidR="00087823" w:rsidRPr="00087823" w:rsidRDefault="00087823" w:rsidP="00087823">
      <w:pPr>
        <w:jc w:val="both"/>
        <w:rPr>
          <w:lang w:val="en-US"/>
        </w:rPr>
      </w:pPr>
      <w:r w:rsidRPr="00087823">
        <w:rPr>
          <w:lang w:val="en-US"/>
        </w:rPr>
        <w:t>n = 305.2 ~ 305</w:t>
      </w:r>
    </w:p>
    <w:p w14:paraId="11E8D998" w14:textId="77777777" w:rsidR="00087823" w:rsidRPr="00087823" w:rsidRDefault="00087823" w:rsidP="00087823">
      <w:pPr>
        <w:jc w:val="both"/>
        <w:rPr>
          <w:lang w:val="en-US"/>
        </w:rPr>
      </w:pPr>
    </w:p>
    <w:p w14:paraId="2CF0523E" w14:textId="77777777" w:rsidR="00087823" w:rsidRPr="00087823" w:rsidRDefault="00087823" w:rsidP="00087823">
      <w:pPr>
        <w:jc w:val="both"/>
        <w:rPr>
          <w:lang w:val="en-US"/>
        </w:rPr>
      </w:pPr>
      <w:r w:rsidRPr="00087823">
        <w:rPr>
          <w:lang w:val="en-US"/>
        </w:rPr>
        <w:t>To ensure an optimal sample size, adjustments were made as follows:</w:t>
      </w:r>
    </w:p>
    <w:p w14:paraId="1A8FECF1" w14:textId="77777777" w:rsidR="00087823" w:rsidRPr="00087823" w:rsidRDefault="00087823" w:rsidP="00087823">
      <w:pPr>
        <w:jc w:val="both"/>
        <w:rPr>
          <w:lang w:val="en-US"/>
        </w:rPr>
      </w:pPr>
    </w:p>
    <w:p w14:paraId="1E8199EB" w14:textId="77777777" w:rsidR="00087823" w:rsidRPr="00087823" w:rsidRDefault="00087823" w:rsidP="00087823">
      <w:pPr>
        <w:jc w:val="both"/>
        <w:rPr>
          <w:lang w:val="en-US"/>
        </w:rPr>
      </w:pPr>
      <w:r w:rsidRPr="00087823">
        <w:rPr>
          <w:lang w:val="en-US"/>
        </w:rPr>
        <w:t>i. Adjustment for the design effect (deff) of 2.5 (based on NHMS, 2018):</w:t>
      </w:r>
    </w:p>
    <w:p w14:paraId="6CFA80F8" w14:textId="77777777" w:rsidR="00087823" w:rsidRPr="00087823" w:rsidRDefault="00087823" w:rsidP="00087823">
      <w:pPr>
        <w:jc w:val="both"/>
        <w:rPr>
          <w:lang w:val="en-US"/>
        </w:rPr>
      </w:pPr>
      <w:r w:rsidRPr="00087823">
        <w:rPr>
          <w:lang w:val="en-US"/>
        </w:rPr>
        <w:t>n (complex) = n x deff</w:t>
      </w:r>
    </w:p>
    <w:p w14:paraId="61329790" w14:textId="77777777" w:rsidR="00087823" w:rsidRPr="00087823" w:rsidRDefault="00087823" w:rsidP="00087823">
      <w:pPr>
        <w:jc w:val="both"/>
        <w:rPr>
          <w:lang w:val="en-US"/>
        </w:rPr>
      </w:pPr>
      <w:r w:rsidRPr="00087823">
        <w:rPr>
          <w:lang w:val="en-US"/>
        </w:rPr>
        <w:t>n (complex) = 305 x 2.5 (design effect) = 763</w:t>
      </w:r>
    </w:p>
    <w:p w14:paraId="6CED57AF" w14:textId="77777777" w:rsidR="00087823" w:rsidRPr="00087823" w:rsidRDefault="00087823" w:rsidP="00087823">
      <w:pPr>
        <w:jc w:val="both"/>
        <w:rPr>
          <w:lang w:val="en-US"/>
        </w:rPr>
      </w:pPr>
    </w:p>
    <w:p w14:paraId="6849D5C0" w14:textId="77777777" w:rsidR="00087823" w:rsidRPr="00087823" w:rsidRDefault="00087823" w:rsidP="00087823">
      <w:pPr>
        <w:jc w:val="both"/>
        <w:rPr>
          <w:lang w:val="en-US"/>
        </w:rPr>
      </w:pPr>
      <w:r w:rsidRPr="00087823">
        <w:rPr>
          <w:lang w:val="en-US"/>
        </w:rPr>
        <w:t>ii. Adjustment for the expected non-response rate of 20%:</w:t>
      </w:r>
    </w:p>
    <w:p w14:paraId="739A0648" w14:textId="77777777" w:rsidR="00087823" w:rsidRPr="00087823" w:rsidRDefault="00087823" w:rsidP="00087823">
      <w:pPr>
        <w:jc w:val="both"/>
        <w:rPr>
          <w:lang w:val="en-US"/>
        </w:rPr>
      </w:pPr>
      <w:r w:rsidRPr="00087823">
        <w:rPr>
          <w:lang w:val="en-US"/>
        </w:rPr>
        <w:t>n (adjusted) = n (complex) / (1 - non-response rate)</w:t>
      </w:r>
    </w:p>
    <w:p w14:paraId="76EFE8B2" w14:textId="77777777" w:rsidR="00087823" w:rsidRPr="00087823" w:rsidRDefault="00087823" w:rsidP="00087823">
      <w:pPr>
        <w:jc w:val="both"/>
        <w:rPr>
          <w:lang w:val="en-US"/>
        </w:rPr>
      </w:pPr>
      <w:r w:rsidRPr="00087823">
        <w:rPr>
          <w:lang w:val="en-US"/>
        </w:rPr>
        <w:t>n (adjusted) = 763 / (1 − 0.2) = 953</w:t>
      </w:r>
    </w:p>
    <w:p w14:paraId="6CBEEE45" w14:textId="77777777" w:rsidR="00087823" w:rsidRPr="00087823" w:rsidRDefault="00087823" w:rsidP="00087823">
      <w:pPr>
        <w:jc w:val="both"/>
        <w:rPr>
          <w:lang w:val="en-US"/>
        </w:rPr>
      </w:pPr>
    </w:p>
    <w:p w14:paraId="73C7C5C6" w14:textId="77777777" w:rsidR="00087823" w:rsidRPr="00087823" w:rsidRDefault="00087823" w:rsidP="00087823">
      <w:pPr>
        <w:jc w:val="both"/>
        <w:rPr>
          <w:lang w:val="en-US"/>
        </w:rPr>
      </w:pPr>
      <w:r w:rsidRPr="00087823">
        <w:rPr>
          <w:lang w:val="en-US"/>
        </w:rPr>
        <w:t>Considering the specified requirements and adjustments, the total required sample size is:</w:t>
      </w:r>
    </w:p>
    <w:p w14:paraId="51FB2EBF" w14:textId="77777777" w:rsidR="00087823" w:rsidRPr="00087823" w:rsidRDefault="00087823" w:rsidP="00087823">
      <w:pPr>
        <w:jc w:val="both"/>
        <w:rPr>
          <w:lang w:val="en-US"/>
        </w:rPr>
      </w:pPr>
    </w:p>
    <w:p w14:paraId="6B28326A" w14:textId="2C3D2BEE" w:rsidR="00D13B25" w:rsidRDefault="00087823" w:rsidP="00087823">
      <w:pPr>
        <w:jc w:val="both"/>
        <w:rPr>
          <w:b/>
          <w:bCs/>
          <w:lang w:val="en-US"/>
        </w:rPr>
      </w:pPr>
      <w:r w:rsidRPr="00087823">
        <w:rPr>
          <w:b/>
          <w:bCs/>
          <w:lang w:val="en-US"/>
        </w:rPr>
        <w:t>N = 953</w:t>
      </w:r>
    </w:p>
    <w:p w14:paraId="27E8403A" w14:textId="77777777" w:rsidR="00087823" w:rsidRPr="00087823" w:rsidRDefault="00087823" w:rsidP="00087823">
      <w:pPr>
        <w:jc w:val="both"/>
        <w:rPr>
          <w:b/>
          <w:bCs/>
          <w:lang w:val="en-US"/>
        </w:rPr>
      </w:pPr>
    </w:p>
    <w:p w14:paraId="66BA2B93" w14:textId="494B9503" w:rsidR="00EF3343" w:rsidRDefault="00EF3343" w:rsidP="00D13B25">
      <w:pPr>
        <w:jc w:val="both"/>
        <w:rPr>
          <w:b/>
          <w:bCs/>
          <w:lang w:val="en-US"/>
        </w:rPr>
      </w:pPr>
      <w:r w:rsidRPr="00E72187">
        <w:rPr>
          <w:b/>
          <w:bCs/>
          <w:lang w:val="en-US"/>
        </w:rPr>
        <w:t>2.4 Sampling Design</w:t>
      </w:r>
    </w:p>
    <w:p w14:paraId="6D7ACB8F" w14:textId="4BA0D519" w:rsidR="00EF3343" w:rsidRDefault="007F3448" w:rsidP="00D13B25">
      <w:pPr>
        <w:jc w:val="both"/>
        <w:rPr>
          <w:lang w:val="en-US"/>
        </w:rPr>
      </w:pPr>
      <w:r w:rsidRPr="007F3448">
        <w:rPr>
          <w:lang w:val="en-US"/>
        </w:rPr>
        <w:t>In this study, a simple random sampling approach will be employed to guarantee that hospital administrators from MOH hospitals are chosen in a manner that accurately represents the entire nation.</w:t>
      </w:r>
    </w:p>
    <w:p w14:paraId="7382DF8C" w14:textId="77777777" w:rsidR="007F3448" w:rsidRDefault="007F3448" w:rsidP="00D13B25">
      <w:pPr>
        <w:jc w:val="both"/>
        <w:rPr>
          <w:b/>
          <w:bCs/>
          <w:lang w:val="en-US"/>
        </w:rPr>
      </w:pPr>
    </w:p>
    <w:p w14:paraId="256A8055" w14:textId="741C0F46" w:rsidR="00EF3343" w:rsidRPr="00E72187" w:rsidRDefault="00EF3343" w:rsidP="00D13B25">
      <w:pPr>
        <w:jc w:val="both"/>
        <w:rPr>
          <w:b/>
          <w:bCs/>
          <w:lang w:val="en-US"/>
        </w:rPr>
      </w:pPr>
      <w:r w:rsidRPr="00E72187">
        <w:rPr>
          <w:b/>
          <w:bCs/>
          <w:lang w:val="en-US"/>
        </w:rPr>
        <w:t>2.5 Study Tools</w:t>
      </w:r>
    </w:p>
    <w:p w14:paraId="6C0A2AEC" w14:textId="6B09DC06" w:rsidR="00E72187" w:rsidRDefault="007F3448" w:rsidP="00D13B25">
      <w:pPr>
        <w:jc w:val="both"/>
        <w:rPr>
          <w:lang w:val="en-US"/>
        </w:rPr>
      </w:pPr>
      <w:r>
        <w:rPr>
          <w:lang w:val="en-US"/>
        </w:rPr>
        <w:t>D</w:t>
      </w:r>
      <w:r w:rsidRPr="007F3448">
        <w:rPr>
          <w:lang w:val="en-US"/>
        </w:rPr>
        <w:t>ata collection will involve the use of a structured questionnaire, which will be administered online and made available in both English and Malay languages. The questionnaire comprises two sections: (A) Sociodemographic information and (B) The Maslach Burnout Inventory− Human Services Survey (MBI−HSS) for assessing burnout.</w:t>
      </w:r>
    </w:p>
    <w:p w14:paraId="336C2549" w14:textId="77777777" w:rsidR="00E22F5F" w:rsidRDefault="00E22F5F" w:rsidP="00D13B25">
      <w:pPr>
        <w:jc w:val="both"/>
        <w:rPr>
          <w:lang w:val="en-US"/>
        </w:rPr>
      </w:pPr>
    </w:p>
    <w:p w14:paraId="4B76BB4B" w14:textId="77777777" w:rsidR="00E22F5F" w:rsidRDefault="00E22F5F" w:rsidP="00D13B25">
      <w:pPr>
        <w:jc w:val="both"/>
        <w:rPr>
          <w:lang w:val="en-US"/>
        </w:rPr>
      </w:pPr>
    </w:p>
    <w:p w14:paraId="711A7D86" w14:textId="77777777" w:rsidR="007F3448" w:rsidRDefault="007F3448" w:rsidP="00D13B25">
      <w:pPr>
        <w:jc w:val="both"/>
        <w:rPr>
          <w:lang w:val="en-US"/>
        </w:rPr>
      </w:pPr>
    </w:p>
    <w:p w14:paraId="6D42DF68" w14:textId="77777777" w:rsidR="00E72187" w:rsidRPr="00E72187" w:rsidRDefault="00E72187" w:rsidP="00E72187">
      <w:pPr>
        <w:jc w:val="both"/>
        <w:rPr>
          <w:b/>
          <w:bCs/>
          <w:lang w:val="en-US"/>
        </w:rPr>
      </w:pPr>
      <w:r w:rsidRPr="00E72187">
        <w:rPr>
          <w:b/>
          <w:bCs/>
          <w:lang w:val="en-US"/>
        </w:rPr>
        <w:lastRenderedPageBreak/>
        <w:t>2.5.1</w:t>
      </w:r>
      <w:r w:rsidRPr="00E72187">
        <w:rPr>
          <w:b/>
          <w:bCs/>
          <w:lang w:val="en-US"/>
        </w:rPr>
        <w:tab/>
        <w:t>Maslach Burnout Inventory-Human Services Survey (MBI-HSS)</w:t>
      </w:r>
    </w:p>
    <w:p w14:paraId="39819397" w14:textId="77777777" w:rsidR="00E72187" w:rsidRPr="00E72187" w:rsidRDefault="00E72187" w:rsidP="00E72187">
      <w:pPr>
        <w:jc w:val="both"/>
        <w:rPr>
          <w:lang w:val="en-US"/>
        </w:rPr>
      </w:pPr>
    </w:p>
    <w:p w14:paraId="36C0CE7A" w14:textId="4E976A2E" w:rsidR="00E72187" w:rsidRDefault="007F3448" w:rsidP="00E72187">
      <w:pPr>
        <w:jc w:val="both"/>
        <w:rPr>
          <w:lang w:val="en-US"/>
        </w:rPr>
      </w:pPr>
      <w:r w:rsidRPr="007F3448">
        <w:rPr>
          <w:lang w:val="en-US"/>
        </w:rPr>
        <w:t>The MBI-HSS is a commonly employed tool for evaluating burnout syndrome within service-oriented professions, including hospital administrators. It is a well-established and validated instrument with widespread usage in both clinical and educational settings. This instrument delineates burnout into three key components: emotional exhaustion (EE), depersonalization (DP), and a diminished sense of personal accomplishment (PA). It comprises 22 items, which respondents’ rate on a six-point Likert scale, ranging from "0 - Never" to "6 - Every day." To compute total scores, participants' responses to these 22 questions are summed according to the three burnout domains. The specific cutoff scores for the three burnout domains are as follows:</w:t>
      </w:r>
    </w:p>
    <w:p w14:paraId="7D53102D" w14:textId="77777777" w:rsidR="007F3448" w:rsidRPr="00E72187" w:rsidRDefault="007F3448" w:rsidP="00E72187">
      <w:pPr>
        <w:jc w:val="both"/>
        <w:rPr>
          <w:lang w:val="en-US"/>
        </w:rPr>
      </w:pPr>
    </w:p>
    <w:tbl>
      <w:tblPr>
        <w:tblStyle w:val="TableGrid"/>
        <w:tblW w:w="0" w:type="auto"/>
        <w:jc w:val="center"/>
        <w:tblLook w:val="04A0" w:firstRow="1" w:lastRow="0" w:firstColumn="1" w:lastColumn="0" w:noHBand="0" w:noVBand="1"/>
      </w:tblPr>
      <w:tblGrid>
        <w:gridCol w:w="2070"/>
        <w:gridCol w:w="1765"/>
        <w:gridCol w:w="1781"/>
        <w:gridCol w:w="1767"/>
      </w:tblGrid>
      <w:tr w:rsidR="00C456AA" w:rsidRPr="00C456AA" w14:paraId="534D71C2" w14:textId="77777777" w:rsidTr="00C456AA">
        <w:trPr>
          <w:jc w:val="center"/>
        </w:trPr>
        <w:tc>
          <w:tcPr>
            <w:tcW w:w="1949" w:type="dxa"/>
          </w:tcPr>
          <w:p w14:paraId="61B71DDD" w14:textId="77777777" w:rsidR="00C456AA" w:rsidRPr="00C456AA" w:rsidRDefault="00C456AA" w:rsidP="007F3448">
            <w:pPr>
              <w:jc w:val="center"/>
              <w:rPr>
                <w:b/>
                <w:bCs/>
                <w:lang w:val="en-US"/>
              </w:rPr>
            </w:pPr>
          </w:p>
        </w:tc>
        <w:tc>
          <w:tcPr>
            <w:tcW w:w="1765" w:type="dxa"/>
          </w:tcPr>
          <w:p w14:paraId="49018AA4" w14:textId="29126CAF" w:rsidR="00C456AA" w:rsidRPr="00C456AA" w:rsidRDefault="00C456AA" w:rsidP="007F3448">
            <w:pPr>
              <w:jc w:val="center"/>
              <w:rPr>
                <w:b/>
                <w:bCs/>
                <w:lang w:val="en-US"/>
              </w:rPr>
            </w:pPr>
            <w:r w:rsidRPr="00C456AA">
              <w:rPr>
                <w:b/>
                <w:bCs/>
                <w:lang w:val="en-US"/>
              </w:rPr>
              <w:t>Low</w:t>
            </w:r>
          </w:p>
        </w:tc>
        <w:tc>
          <w:tcPr>
            <w:tcW w:w="1781" w:type="dxa"/>
          </w:tcPr>
          <w:p w14:paraId="5B3089DF" w14:textId="21660A8A" w:rsidR="00C456AA" w:rsidRPr="00C456AA" w:rsidRDefault="00C456AA" w:rsidP="007F3448">
            <w:pPr>
              <w:jc w:val="center"/>
              <w:rPr>
                <w:b/>
                <w:bCs/>
                <w:lang w:val="en-US"/>
              </w:rPr>
            </w:pPr>
            <w:r w:rsidRPr="00C456AA">
              <w:rPr>
                <w:b/>
                <w:bCs/>
                <w:lang w:val="en-US"/>
              </w:rPr>
              <w:t>Moderate</w:t>
            </w:r>
          </w:p>
        </w:tc>
        <w:tc>
          <w:tcPr>
            <w:tcW w:w="1767" w:type="dxa"/>
          </w:tcPr>
          <w:p w14:paraId="7026171C" w14:textId="2425608F" w:rsidR="00C456AA" w:rsidRPr="00C456AA" w:rsidRDefault="00C456AA" w:rsidP="007F3448">
            <w:pPr>
              <w:jc w:val="center"/>
              <w:rPr>
                <w:b/>
                <w:bCs/>
                <w:lang w:val="en-US"/>
              </w:rPr>
            </w:pPr>
            <w:r w:rsidRPr="00C456AA">
              <w:rPr>
                <w:b/>
                <w:bCs/>
                <w:lang w:val="en-US"/>
              </w:rPr>
              <w:t>High</w:t>
            </w:r>
          </w:p>
        </w:tc>
      </w:tr>
      <w:tr w:rsidR="00C456AA" w14:paraId="2D020FBF" w14:textId="77777777" w:rsidTr="00C456AA">
        <w:trPr>
          <w:jc w:val="center"/>
        </w:trPr>
        <w:tc>
          <w:tcPr>
            <w:tcW w:w="1949" w:type="dxa"/>
          </w:tcPr>
          <w:p w14:paraId="5D12109E" w14:textId="63F2760D" w:rsidR="00C456AA" w:rsidRPr="00C456AA" w:rsidRDefault="00C456AA" w:rsidP="00E72187">
            <w:pPr>
              <w:jc w:val="both"/>
              <w:rPr>
                <w:b/>
                <w:bCs/>
                <w:lang w:val="en-US"/>
              </w:rPr>
            </w:pPr>
            <w:r w:rsidRPr="00C456AA">
              <w:rPr>
                <w:b/>
                <w:bCs/>
                <w:lang w:val="en-US"/>
              </w:rPr>
              <w:t>Emotional Exhaustion</w:t>
            </w:r>
          </w:p>
        </w:tc>
        <w:tc>
          <w:tcPr>
            <w:tcW w:w="1765" w:type="dxa"/>
          </w:tcPr>
          <w:p w14:paraId="19147044" w14:textId="55983C46" w:rsidR="00C456AA" w:rsidRDefault="00C456AA" w:rsidP="00C456AA">
            <w:pPr>
              <w:jc w:val="center"/>
              <w:rPr>
                <w:lang w:val="en-US"/>
              </w:rPr>
            </w:pPr>
            <w:r w:rsidRPr="00E72187">
              <w:rPr>
                <w:lang w:val="en-US"/>
              </w:rPr>
              <w:t>0 − 16</w:t>
            </w:r>
          </w:p>
        </w:tc>
        <w:tc>
          <w:tcPr>
            <w:tcW w:w="1781" w:type="dxa"/>
          </w:tcPr>
          <w:p w14:paraId="4023A5A3" w14:textId="640E7730" w:rsidR="00C456AA" w:rsidRDefault="00C456AA" w:rsidP="00C456AA">
            <w:pPr>
              <w:jc w:val="center"/>
              <w:rPr>
                <w:lang w:val="en-US"/>
              </w:rPr>
            </w:pPr>
            <w:r w:rsidRPr="00E72187">
              <w:rPr>
                <w:lang w:val="en-US"/>
              </w:rPr>
              <w:t>17 − 26</w:t>
            </w:r>
          </w:p>
        </w:tc>
        <w:tc>
          <w:tcPr>
            <w:tcW w:w="1767" w:type="dxa"/>
          </w:tcPr>
          <w:p w14:paraId="32963C40" w14:textId="7C545A22" w:rsidR="00C456AA" w:rsidRDefault="00C456AA" w:rsidP="00C456AA">
            <w:pPr>
              <w:jc w:val="center"/>
              <w:rPr>
                <w:lang w:val="en-US"/>
              </w:rPr>
            </w:pPr>
            <w:r w:rsidRPr="00E72187">
              <w:rPr>
                <w:lang w:val="en-US"/>
              </w:rPr>
              <w:t>&gt; 27</w:t>
            </w:r>
          </w:p>
        </w:tc>
      </w:tr>
      <w:tr w:rsidR="00C456AA" w14:paraId="01002560" w14:textId="77777777" w:rsidTr="00C456AA">
        <w:trPr>
          <w:jc w:val="center"/>
        </w:trPr>
        <w:tc>
          <w:tcPr>
            <w:tcW w:w="1949" w:type="dxa"/>
          </w:tcPr>
          <w:p w14:paraId="4322CF3B" w14:textId="084D2BC4" w:rsidR="00C456AA" w:rsidRPr="00C456AA" w:rsidRDefault="007F3448" w:rsidP="00E72187">
            <w:pPr>
              <w:jc w:val="both"/>
              <w:rPr>
                <w:b/>
                <w:bCs/>
                <w:lang w:val="en-US"/>
              </w:rPr>
            </w:pPr>
            <w:r>
              <w:rPr>
                <w:b/>
                <w:bCs/>
                <w:lang w:val="en-US"/>
              </w:rPr>
              <w:t>Depersonalization</w:t>
            </w:r>
          </w:p>
        </w:tc>
        <w:tc>
          <w:tcPr>
            <w:tcW w:w="1765" w:type="dxa"/>
          </w:tcPr>
          <w:p w14:paraId="2974D0CB" w14:textId="38B276A5" w:rsidR="00C456AA" w:rsidRDefault="00C456AA" w:rsidP="00C456AA">
            <w:pPr>
              <w:jc w:val="center"/>
              <w:rPr>
                <w:lang w:val="en-US"/>
              </w:rPr>
            </w:pPr>
            <w:r w:rsidRPr="00E72187">
              <w:rPr>
                <w:lang w:val="en-US"/>
              </w:rPr>
              <w:t>0 − 6</w:t>
            </w:r>
          </w:p>
        </w:tc>
        <w:tc>
          <w:tcPr>
            <w:tcW w:w="1781" w:type="dxa"/>
          </w:tcPr>
          <w:p w14:paraId="017AC4BB" w14:textId="28E2D768" w:rsidR="00C456AA" w:rsidRDefault="00C456AA" w:rsidP="00C456AA">
            <w:pPr>
              <w:jc w:val="center"/>
              <w:rPr>
                <w:lang w:val="en-US"/>
              </w:rPr>
            </w:pPr>
            <w:r w:rsidRPr="00E72187">
              <w:rPr>
                <w:lang w:val="en-US"/>
              </w:rPr>
              <w:t>7 − 12</w:t>
            </w:r>
          </w:p>
        </w:tc>
        <w:tc>
          <w:tcPr>
            <w:tcW w:w="1767" w:type="dxa"/>
          </w:tcPr>
          <w:p w14:paraId="5DD9EA43" w14:textId="5F03411F" w:rsidR="00C456AA" w:rsidRDefault="00C456AA" w:rsidP="00C456AA">
            <w:pPr>
              <w:jc w:val="center"/>
              <w:rPr>
                <w:lang w:val="en-US"/>
              </w:rPr>
            </w:pPr>
            <w:r w:rsidRPr="00E72187">
              <w:rPr>
                <w:lang w:val="en-US"/>
              </w:rPr>
              <w:t>&gt; 13</w:t>
            </w:r>
          </w:p>
        </w:tc>
      </w:tr>
      <w:tr w:rsidR="00C456AA" w14:paraId="0F4278B4" w14:textId="77777777" w:rsidTr="00C456AA">
        <w:trPr>
          <w:jc w:val="center"/>
        </w:trPr>
        <w:tc>
          <w:tcPr>
            <w:tcW w:w="1949" w:type="dxa"/>
          </w:tcPr>
          <w:p w14:paraId="7DA68A58" w14:textId="1166A6B0" w:rsidR="00C456AA" w:rsidRPr="00C456AA" w:rsidRDefault="00C456AA" w:rsidP="00E72187">
            <w:pPr>
              <w:jc w:val="both"/>
              <w:rPr>
                <w:b/>
                <w:bCs/>
                <w:lang w:val="en-US"/>
              </w:rPr>
            </w:pPr>
            <w:r w:rsidRPr="00C456AA">
              <w:rPr>
                <w:b/>
                <w:bCs/>
                <w:lang w:val="en-US"/>
              </w:rPr>
              <w:t>Personal Accomplishment</w:t>
            </w:r>
          </w:p>
        </w:tc>
        <w:tc>
          <w:tcPr>
            <w:tcW w:w="1765" w:type="dxa"/>
          </w:tcPr>
          <w:p w14:paraId="79165431" w14:textId="4E0F3606" w:rsidR="00C456AA" w:rsidRDefault="00C456AA" w:rsidP="00C456AA">
            <w:pPr>
              <w:jc w:val="center"/>
              <w:rPr>
                <w:lang w:val="en-US"/>
              </w:rPr>
            </w:pPr>
            <w:r w:rsidRPr="00E72187">
              <w:rPr>
                <w:lang w:val="en-US"/>
              </w:rPr>
              <w:t>0 - 31</w:t>
            </w:r>
          </w:p>
        </w:tc>
        <w:tc>
          <w:tcPr>
            <w:tcW w:w="1781" w:type="dxa"/>
          </w:tcPr>
          <w:p w14:paraId="68A8DBB4" w14:textId="46719376" w:rsidR="00C456AA" w:rsidRDefault="00C456AA" w:rsidP="00C456AA">
            <w:pPr>
              <w:jc w:val="center"/>
              <w:rPr>
                <w:lang w:val="en-US"/>
              </w:rPr>
            </w:pPr>
            <w:r w:rsidRPr="00E72187">
              <w:rPr>
                <w:lang w:val="en-US"/>
              </w:rPr>
              <w:t>32 − 38</w:t>
            </w:r>
          </w:p>
        </w:tc>
        <w:tc>
          <w:tcPr>
            <w:tcW w:w="1767" w:type="dxa"/>
          </w:tcPr>
          <w:p w14:paraId="310164A1" w14:textId="377F086F" w:rsidR="00C456AA" w:rsidRDefault="00C456AA" w:rsidP="00C456AA">
            <w:pPr>
              <w:jc w:val="center"/>
              <w:rPr>
                <w:lang w:val="en-US"/>
              </w:rPr>
            </w:pPr>
            <w:r w:rsidRPr="00E72187">
              <w:rPr>
                <w:lang w:val="en-US"/>
              </w:rPr>
              <w:t>&gt; 39</w:t>
            </w:r>
          </w:p>
        </w:tc>
      </w:tr>
    </w:tbl>
    <w:p w14:paraId="1DBDF3D1" w14:textId="77777777" w:rsidR="00E72187" w:rsidRPr="00E72187" w:rsidRDefault="00E72187" w:rsidP="00E72187">
      <w:pPr>
        <w:jc w:val="both"/>
        <w:rPr>
          <w:lang w:val="en-US"/>
        </w:rPr>
      </w:pPr>
    </w:p>
    <w:p w14:paraId="1B3F5612" w14:textId="68DD0E57" w:rsidR="00E72187" w:rsidRPr="00CB0CB6" w:rsidRDefault="00E72187" w:rsidP="00E72187">
      <w:pPr>
        <w:jc w:val="both"/>
        <w:rPr>
          <w:b/>
          <w:bCs/>
          <w:lang w:val="en-US"/>
        </w:rPr>
      </w:pPr>
      <w:r w:rsidRPr="00E72187">
        <w:rPr>
          <w:lang w:val="en-US"/>
        </w:rPr>
        <w:tab/>
      </w:r>
      <w:r w:rsidRPr="00CB0CB6">
        <w:rPr>
          <w:b/>
          <w:bCs/>
          <w:lang w:val="en-US"/>
        </w:rPr>
        <w:tab/>
      </w:r>
      <w:r w:rsidR="00CB0CB6" w:rsidRPr="00CB0CB6">
        <w:rPr>
          <w:b/>
          <w:bCs/>
          <w:lang w:val="en-US"/>
        </w:rPr>
        <w:t>Table 1: Scoring for MBI-HSS</w:t>
      </w:r>
    </w:p>
    <w:p w14:paraId="48739BC5" w14:textId="6212BCB3" w:rsidR="00E72187" w:rsidRPr="00E72187" w:rsidRDefault="00E72187" w:rsidP="00E72187">
      <w:pPr>
        <w:jc w:val="both"/>
        <w:rPr>
          <w:lang w:val="en-US"/>
        </w:rPr>
      </w:pPr>
      <w:r w:rsidRPr="00CB0CB6">
        <w:rPr>
          <w:b/>
          <w:bCs/>
          <w:lang w:val="en-US"/>
        </w:rPr>
        <w:tab/>
      </w:r>
      <w:r w:rsidRPr="00E72187">
        <w:rPr>
          <w:lang w:val="en-US"/>
        </w:rPr>
        <w:tab/>
      </w:r>
      <w:r w:rsidRPr="00E72187">
        <w:rPr>
          <w:lang w:val="en-US"/>
        </w:rPr>
        <w:tab/>
      </w:r>
      <w:r w:rsidRPr="00E72187">
        <w:rPr>
          <w:lang w:val="en-US"/>
        </w:rPr>
        <w:tab/>
      </w:r>
      <w:r w:rsidRPr="00E72187">
        <w:rPr>
          <w:lang w:val="en-US"/>
        </w:rPr>
        <w:tab/>
      </w:r>
    </w:p>
    <w:p w14:paraId="162BA664" w14:textId="63F0040B" w:rsidR="00E72187" w:rsidRDefault="007F3448" w:rsidP="00E72187">
      <w:pPr>
        <w:jc w:val="both"/>
        <w:rPr>
          <w:lang w:val="en-US"/>
        </w:rPr>
      </w:pPr>
      <w:r w:rsidRPr="007F3448">
        <w:rPr>
          <w:lang w:val="en-US"/>
        </w:rPr>
        <w:t>Nonetheless, for the purposes of this study, the practical interpretation of burnout aligns with the description that categorizes hospital administrators as experiencing burnout if they score significantly on either the emotional exhaustion (EE), depersonalization (DP), or both dimensions, as defined by Christina Maslach, Susan E. Jackson, and Michael P. (1996). It's worth noting that the Malay version of MBI-HSS has been verified as culturally fitting and suitable for use in Malaysia, boasting an overall Cronbach's alpha value of 0.94, as established by Chen et al. (2014).</w:t>
      </w:r>
    </w:p>
    <w:p w14:paraId="40558083" w14:textId="77777777" w:rsidR="007F3448" w:rsidRPr="00E72187" w:rsidRDefault="007F3448" w:rsidP="00E72187">
      <w:pPr>
        <w:jc w:val="both"/>
        <w:rPr>
          <w:lang w:val="en-US"/>
        </w:rPr>
      </w:pPr>
    </w:p>
    <w:p w14:paraId="2D99CA48" w14:textId="77777777" w:rsidR="00E72187" w:rsidRPr="00E72187" w:rsidRDefault="00E72187" w:rsidP="00E72187">
      <w:pPr>
        <w:jc w:val="both"/>
        <w:rPr>
          <w:b/>
          <w:bCs/>
          <w:lang w:val="en-US"/>
        </w:rPr>
      </w:pPr>
      <w:r w:rsidRPr="00E72187">
        <w:rPr>
          <w:b/>
          <w:bCs/>
          <w:lang w:val="en-US"/>
        </w:rPr>
        <w:t>2.6</w:t>
      </w:r>
      <w:r w:rsidRPr="00E72187">
        <w:rPr>
          <w:b/>
          <w:bCs/>
          <w:lang w:val="en-US"/>
        </w:rPr>
        <w:tab/>
        <w:t>Study Procedure</w:t>
      </w:r>
    </w:p>
    <w:p w14:paraId="522E5D8D" w14:textId="45D93E3B" w:rsidR="00E72187" w:rsidRDefault="007F3448" w:rsidP="00E72187">
      <w:pPr>
        <w:jc w:val="both"/>
        <w:rPr>
          <w:lang w:val="en-US"/>
        </w:rPr>
      </w:pPr>
      <w:r w:rsidRPr="007F3448">
        <w:rPr>
          <w:lang w:val="en-US"/>
        </w:rPr>
        <w:t>Data collection will take place within the individual hospitals, and participation is entirely voluntary. Stringent measures will be in place to ensure the utmost confidentiality, with no personal identifiers included in the questionnaire. Prior to completing the online questionnaire, participants will be asked to provide their consent.</w:t>
      </w:r>
    </w:p>
    <w:p w14:paraId="2590B5DF" w14:textId="77777777" w:rsidR="007F3448" w:rsidRPr="00E72187" w:rsidRDefault="007F3448" w:rsidP="00E72187">
      <w:pPr>
        <w:jc w:val="both"/>
        <w:rPr>
          <w:lang w:val="en-US"/>
        </w:rPr>
      </w:pPr>
    </w:p>
    <w:p w14:paraId="57C7DA77" w14:textId="77777777" w:rsidR="00E72187" w:rsidRPr="00E72187" w:rsidRDefault="00E72187" w:rsidP="00E72187">
      <w:pPr>
        <w:jc w:val="both"/>
        <w:rPr>
          <w:b/>
          <w:bCs/>
          <w:lang w:val="en-US"/>
        </w:rPr>
      </w:pPr>
      <w:r w:rsidRPr="00E72187">
        <w:rPr>
          <w:b/>
          <w:bCs/>
          <w:lang w:val="en-US"/>
        </w:rPr>
        <w:t>2.7</w:t>
      </w:r>
      <w:r w:rsidRPr="00E72187">
        <w:rPr>
          <w:b/>
          <w:bCs/>
          <w:lang w:val="en-US"/>
        </w:rPr>
        <w:tab/>
        <w:t>Ethical Approval and Consent Form</w:t>
      </w:r>
    </w:p>
    <w:p w14:paraId="39A785D0" w14:textId="65FF8934" w:rsidR="00E72187" w:rsidRDefault="007F3448" w:rsidP="00E72187">
      <w:pPr>
        <w:jc w:val="both"/>
        <w:rPr>
          <w:lang w:val="en-US"/>
        </w:rPr>
      </w:pPr>
      <w:r w:rsidRPr="007F3448">
        <w:rPr>
          <w:lang w:val="en-US"/>
        </w:rPr>
        <w:t>Before commencing the study, ethical approval will be sought from the Medical Research and Ethics Committee (MREC) under the Ministry of Health Malaysia.</w:t>
      </w:r>
    </w:p>
    <w:p w14:paraId="79B35AFA" w14:textId="77777777" w:rsidR="007F3448" w:rsidRPr="00E72187" w:rsidRDefault="007F3448" w:rsidP="00E72187">
      <w:pPr>
        <w:jc w:val="both"/>
        <w:rPr>
          <w:lang w:val="en-US"/>
        </w:rPr>
      </w:pPr>
    </w:p>
    <w:p w14:paraId="6AC54A1C" w14:textId="77777777" w:rsidR="00E72187" w:rsidRDefault="00E72187" w:rsidP="00E72187">
      <w:pPr>
        <w:jc w:val="both"/>
        <w:rPr>
          <w:b/>
          <w:bCs/>
          <w:lang w:val="en-US"/>
        </w:rPr>
      </w:pPr>
      <w:r w:rsidRPr="00E72187">
        <w:rPr>
          <w:b/>
          <w:bCs/>
          <w:lang w:val="en-US"/>
        </w:rPr>
        <w:t>2.8</w:t>
      </w:r>
      <w:r w:rsidRPr="00E72187">
        <w:rPr>
          <w:b/>
          <w:bCs/>
          <w:lang w:val="en-US"/>
        </w:rPr>
        <w:tab/>
        <w:t>Data Management</w:t>
      </w:r>
    </w:p>
    <w:p w14:paraId="70727BFB" w14:textId="77777777" w:rsidR="00E72187" w:rsidRPr="00E72187" w:rsidRDefault="00E72187" w:rsidP="00E72187">
      <w:pPr>
        <w:jc w:val="both"/>
        <w:rPr>
          <w:b/>
          <w:bCs/>
          <w:lang w:val="en-US"/>
        </w:rPr>
      </w:pPr>
    </w:p>
    <w:p w14:paraId="2DB9144D" w14:textId="77777777" w:rsidR="00E72187" w:rsidRPr="00E72187" w:rsidRDefault="00E72187" w:rsidP="00E72187">
      <w:pPr>
        <w:jc w:val="both"/>
        <w:rPr>
          <w:b/>
          <w:bCs/>
          <w:lang w:val="en-US"/>
        </w:rPr>
      </w:pPr>
      <w:r w:rsidRPr="00E72187">
        <w:rPr>
          <w:b/>
          <w:bCs/>
          <w:lang w:val="en-US"/>
        </w:rPr>
        <w:t>2.8.1</w:t>
      </w:r>
      <w:r w:rsidRPr="00E72187">
        <w:rPr>
          <w:b/>
          <w:bCs/>
          <w:lang w:val="en-US"/>
        </w:rPr>
        <w:tab/>
        <w:t>Data Processing</w:t>
      </w:r>
    </w:p>
    <w:p w14:paraId="1DFC9603" w14:textId="5748EA8C" w:rsidR="007F3448" w:rsidRPr="007F3448" w:rsidRDefault="007F3448" w:rsidP="007F3448">
      <w:pPr>
        <w:jc w:val="both"/>
        <w:rPr>
          <w:lang w:val="en-US"/>
        </w:rPr>
      </w:pPr>
      <w:r w:rsidRPr="007F3448">
        <w:rPr>
          <w:lang w:val="en-US"/>
        </w:rPr>
        <w:t xml:space="preserve">Data entry will involve manual input into Microsoft Excel, followed by a thorough cross-checking and </w:t>
      </w:r>
      <w:r>
        <w:rPr>
          <w:lang w:val="en-US"/>
        </w:rPr>
        <w:t>data-cleaning</w:t>
      </w:r>
      <w:r w:rsidRPr="007F3448">
        <w:rPr>
          <w:lang w:val="en-US"/>
        </w:rPr>
        <w:t xml:space="preserve"> process.</w:t>
      </w:r>
    </w:p>
    <w:p w14:paraId="7716250D" w14:textId="77777777" w:rsidR="00E72187" w:rsidRPr="00E72187" w:rsidRDefault="00E72187" w:rsidP="00E72187">
      <w:pPr>
        <w:jc w:val="both"/>
        <w:rPr>
          <w:lang w:val="en-US"/>
        </w:rPr>
      </w:pPr>
    </w:p>
    <w:p w14:paraId="27985A1C" w14:textId="5852F5FD" w:rsidR="00E72187" w:rsidRDefault="00E72187" w:rsidP="00E72187">
      <w:pPr>
        <w:jc w:val="both"/>
        <w:rPr>
          <w:b/>
          <w:bCs/>
          <w:lang w:val="en-US"/>
        </w:rPr>
      </w:pPr>
      <w:r w:rsidRPr="00E72187">
        <w:rPr>
          <w:b/>
          <w:bCs/>
          <w:lang w:val="en-US"/>
        </w:rPr>
        <w:t>2.8.1 Data Analysis</w:t>
      </w:r>
    </w:p>
    <w:p w14:paraId="34532D23" w14:textId="77777777" w:rsidR="007F3448" w:rsidRDefault="007F3448" w:rsidP="007F3448">
      <w:pPr>
        <w:jc w:val="both"/>
        <w:rPr>
          <w:lang w:val="en-US"/>
        </w:rPr>
      </w:pPr>
      <w:r w:rsidRPr="007F3448">
        <w:rPr>
          <w:lang w:val="en-US"/>
        </w:rPr>
        <w:t>Statistical analyses will be carried out utilizing complex sampling analysis within the Statistical Package for Social Sciences for Windows version 26 (SPSS Inc., Chicago, IL, USA).</w:t>
      </w:r>
    </w:p>
    <w:p w14:paraId="1AC5BDB7" w14:textId="77777777" w:rsidR="00E72187" w:rsidRPr="00E72187" w:rsidRDefault="00E72187" w:rsidP="00E72187">
      <w:pPr>
        <w:jc w:val="both"/>
        <w:rPr>
          <w:lang w:val="en-US"/>
        </w:rPr>
      </w:pPr>
    </w:p>
    <w:p w14:paraId="74D6D1A6" w14:textId="77777777" w:rsidR="00E72187" w:rsidRDefault="00E72187" w:rsidP="00D13B25">
      <w:pPr>
        <w:jc w:val="both"/>
        <w:rPr>
          <w:lang w:val="en-US"/>
        </w:rPr>
      </w:pPr>
    </w:p>
    <w:p w14:paraId="7B295048" w14:textId="77777777" w:rsidR="007F3448" w:rsidRPr="007F3448" w:rsidRDefault="007F3448" w:rsidP="007F3448">
      <w:pPr>
        <w:jc w:val="both"/>
        <w:rPr>
          <w:lang w:val="en-US"/>
        </w:rPr>
      </w:pPr>
    </w:p>
    <w:p w14:paraId="2154FC37" w14:textId="77777777" w:rsidR="007F3448" w:rsidRDefault="007F3448" w:rsidP="00D13B25">
      <w:pPr>
        <w:jc w:val="both"/>
        <w:rPr>
          <w:lang w:val="en-US"/>
        </w:rPr>
      </w:pPr>
    </w:p>
    <w:p w14:paraId="46A7E2F7" w14:textId="2D5BFA26" w:rsidR="00427734" w:rsidRDefault="00D13B25" w:rsidP="00E11B25">
      <w:pPr>
        <w:jc w:val="both"/>
        <w:rPr>
          <w:b/>
          <w:bCs/>
          <w:lang w:val="en-US"/>
        </w:rPr>
      </w:pPr>
      <w:r>
        <w:rPr>
          <w:b/>
          <w:bCs/>
          <w:lang w:val="en-US"/>
        </w:rPr>
        <w:t>3.0 Results</w:t>
      </w:r>
    </w:p>
    <w:p w14:paraId="5AFFEE17" w14:textId="77777777" w:rsidR="00D13B25" w:rsidRDefault="00D13B25" w:rsidP="00E11B25">
      <w:pPr>
        <w:jc w:val="both"/>
        <w:rPr>
          <w:b/>
          <w:bCs/>
          <w:lang w:val="en-US"/>
        </w:rPr>
      </w:pPr>
    </w:p>
    <w:p w14:paraId="4D5D4053" w14:textId="77777777" w:rsidR="00E22F5F" w:rsidRDefault="00E22F5F">
      <w:pPr>
        <w:rPr>
          <w:b/>
          <w:bCs/>
          <w:lang w:val="en-US"/>
        </w:rPr>
      </w:pPr>
      <w:r>
        <w:rPr>
          <w:b/>
          <w:bCs/>
          <w:lang w:val="en-US"/>
        </w:rPr>
        <w:br w:type="page"/>
      </w:r>
    </w:p>
    <w:p w14:paraId="7E673C50" w14:textId="4D8A4A9D" w:rsidR="00E11B25" w:rsidRPr="00E11B25" w:rsidRDefault="00E11B25" w:rsidP="00E11B25">
      <w:pPr>
        <w:jc w:val="both"/>
        <w:rPr>
          <w:b/>
          <w:bCs/>
          <w:lang w:val="en-US"/>
        </w:rPr>
      </w:pPr>
      <w:r w:rsidRPr="00E11B25">
        <w:rPr>
          <w:b/>
          <w:bCs/>
          <w:lang w:val="en-US"/>
        </w:rPr>
        <w:lastRenderedPageBreak/>
        <w:t>Reference</w:t>
      </w:r>
    </w:p>
    <w:p w14:paraId="16977CD4" w14:textId="77777777" w:rsidR="00E11B25" w:rsidRPr="00E11B25" w:rsidRDefault="00E11B25" w:rsidP="00E11B25">
      <w:pPr>
        <w:jc w:val="both"/>
        <w:rPr>
          <w:lang w:val="en-US"/>
        </w:rPr>
      </w:pPr>
    </w:p>
    <w:p w14:paraId="7FA3FF1F" w14:textId="2B7695DD" w:rsidR="00E11B25" w:rsidRDefault="00E11B25" w:rsidP="00E11B25">
      <w:pPr>
        <w:jc w:val="both"/>
        <w:rPr>
          <w:lang w:val="en-US"/>
        </w:rPr>
      </w:pPr>
      <w:r w:rsidRPr="00E11B25">
        <w:rPr>
          <w:lang w:val="en-US"/>
        </w:rPr>
        <w:t>Schaufeli, W. B. (2017). Burnout: A short socio−cultural history. In Burnout, fatigue, exhaustion (pp. 105−127). Palgrave Macmillan, Cham.</w:t>
      </w:r>
    </w:p>
    <w:p w14:paraId="0266AAF0" w14:textId="77777777" w:rsidR="00E11B25" w:rsidRDefault="00E11B25" w:rsidP="00E11B25">
      <w:pPr>
        <w:jc w:val="both"/>
        <w:rPr>
          <w:lang w:val="en-US"/>
        </w:rPr>
      </w:pPr>
    </w:p>
    <w:p w14:paraId="39C8C073" w14:textId="341A919A" w:rsidR="00E11B25" w:rsidRPr="00E11B25" w:rsidRDefault="00E11B25" w:rsidP="00E11B25">
      <w:pPr>
        <w:jc w:val="both"/>
        <w:rPr>
          <w:lang w:val="en-US"/>
        </w:rPr>
      </w:pPr>
      <w:r w:rsidRPr="00E11B25">
        <w:rPr>
          <w:lang w:val="en-US"/>
        </w:rPr>
        <w:t>WHO. Burn-Out an ‘Occupational Phenomenon’: International Classification of Diseases; WHO: Geneva, Switzerland, 2019.</w:t>
      </w:r>
    </w:p>
    <w:p w14:paraId="2A58CC3A" w14:textId="77777777" w:rsidR="00E11B25" w:rsidRPr="00E11B25" w:rsidRDefault="00E11B25" w:rsidP="00E11B25">
      <w:pPr>
        <w:jc w:val="both"/>
        <w:rPr>
          <w:lang w:val="en-US"/>
        </w:rPr>
      </w:pPr>
    </w:p>
    <w:p w14:paraId="280071CD" w14:textId="21E00627" w:rsidR="00E11B25" w:rsidRPr="00E11B25" w:rsidRDefault="00E11B25" w:rsidP="00E11B25">
      <w:pPr>
        <w:jc w:val="both"/>
        <w:rPr>
          <w:lang w:val="en-US"/>
        </w:rPr>
      </w:pPr>
      <w:r w:rsidRPr="00E11B25">
        <w:rPr>
          <w:lang w:val="en-US"/>
        </w:rPr>
        <w:t>De Hert, S. Burnout in HealthcareWorkers: Prevalence, Impact and Preventative Strategies. Local Reg. Anesth. 2020, 13, 171–183.</w:t>
      </w:r>
    </w:p>
    <w:p w14:paraId="16CFA0CC" w14:textId="77777777" w:rsidR="00E11B25" w:rsidRDefault="00E11B25" w:rsidP="00E11B25">
      <w:pPr>
        <w:jc w:val="both"/>
        <w:rPr>
          <w:lang w:val="en-US"/>
        </w:rPr>
      </w:pPr>
    </w:p>
    <w:p w14:paraId="29454732" w14:textId="5E9D39A6" w:rsidR="00E11B25" w:rsidRDefault="00E11B25" w:rsidP="00E11B25">
      <w:pPr>
        <w:jc w:val="both"/>
        <w:rPr>
          <w:lang w:val="en-US"/>
        </w:rPr>
      </w:pPr>
      <w:r w:rsidRPr="00E11B25">
        <w:rPr>
          <w:lang w:val="en-US"/>
        </w:rPr>
        <w:t>Tajirian, T.; Stergiopoulos, V.; Strudwick, G.; Sequeira, L.; Sanches, M.; Kemp, J.; Ramamoorthi, K.; Zhang, T.; Jankowicz, D. The</w:t>
      </w:r>
      <w:r>
        <w:rPr>
          <w:lang w:val="en-US"/>
        </w:rPr>
        <w:t xml:space="preserve"> </w:t>
      </w:r>
      <w:r w:rsidRPr="00E11B25">
        <w:rPr>
          <w:lang w:val="en-US"/>
        </w:rPr>
        <w:t>Influence of Electronic Health Record Use on Physician Burnout: Cross-Sectional Survey. J. Med. Internet Res. 2020, 22, e19274.</w:t>
      </w:r>
    </w:p>
    <w:p w14:paraId="05F2E01F" w14:textId="77777777" w:rsidR="00E11B25" w:rsidRDefault="00E11B25" w:rsidP="00E11B25">
      <w:pPr>
        <w:jc w:val="both"/>
        <w:rPr>
          <w:lang w:val="en-US"/>
        </w:rPr>
      </w:pPr>
    </w:p>
    <w:p w14:paraId="43F6C07D" w14:textId="51665E5F" w:rsidR="00E11B25" w:rsidRPr="00E11B25" w:rsidRDefault="00E11B25" w:rsidP="00E11B25">
      <w:pPr>
        <w:jc w:val="both"/>
        <w:rPr>
          <w:lang w:val="en-US"/>
        </w:rPr>
      </w:pPr>
      <w:r w:rsidRPr="00E11B25">
        <w:rPr>
          <w:lang w:val="en-US"/>
        </w:rPr>
        <w:t>Zuraida, A.S.; Zainal, N.Z. Zainal, Exploring Burnout Among Malaysian Junior Doctors Using the Abbreviated Maslach Burnout</w:t>
      </w:r>
      <w:r>
        <w:rPr>
          <w:lang w:val="en-US"/>
        </w:rPr>
        <w:t xml:space="preserve"> </w:t>
      </w:r>
      <w:r w:rsidRPr="00E11B25">
        <w:rPr>
          <w:lang w:val="en-US"/>
        </w:rPr>
        <w:t>Inventory. Malays. J. Psychiatry 2015, 24, 23–32.</w:t>
      </w:r>
    </w:p>
    <w:p w14:paraId="17872D4B" w14:textId="77777777" w:rsidR="00E11B25" w:rsidRDefault="00E11B25" w:rsidP="00E11B25">
      <w:pPr>
        <w:jc w:val="both"/>
        <w:rPr>
          <w:lang w:val="en-US"/>
        </w:rPr>
      </w:pPr>
    </w:p>
    <w:p w14:paraId="1F3BD4F6" w14:textId="69BD4C92" w:rsidR="00E11B25" w:rsidRDefault="00E11B25" w:rsidP="00E11B25">
      <w:pPr>
        <w:jc w:val="both"/>
        <w:rPr>
          <w:lang w:val="en-US"/>
        </w:rPr>
      </w:pPr>
      <w:r w:rsidRPr="00E11B25">
        <w:rPr>
          <w:lang w:val="en-US"/>
        </w:rPr>
        <w:t xml:space="preserve">Siau, </w:t>
      </w:r>
      <w:proofErr w:type="gramStart"/>
      <w:r w:rsidRPr="00E11B25">
        <w:rPr>
          <w:lang w:val="en-US"/>
        </w:rPr>
        <w:t>C.S.;Wee</w:t>
      </w:r>
      <w:proofErr w:type="gramEnd"/>
      <w:r w:rsidRPr="00E11B25">
        <w:rPr>
          <w:lang w:val="en-US"/>
        </w:rPr>
        <w:t>, L.H.; Ibrahim, N.; Visvalingam, U.; Ling Yeap, L.L.; Yeoh, S.H.;Wahab, S. Predicting burnout and psychological</w:t>
      </w:r>
      <w:r>
        <w:rPr>
          <w:lang w:val="en-US"/>
        </w:rPr>
        <w:t xml:space="preserve"> </w:t>
      </w:r>
      <w:r w:rsidRPr="00E11B25">
        <w:rPr>
          <w:lang w:val="en-US"/>
        </w:rPr>
        <w:t>distress risks of hospital healthcare workers. Malays. J. Public Health Med. 2018, 1, 125–136.</w:t>
      </w:r>
    </w:p>
    <w:p w14:paraId="653C3359" w14:textId="77777777" w:rsidR="00E72187" w:rsidRDefault="00E72187" w:rsidP="00E11B25">
      <w:pPr>
        <w:jc w:val="both"/>
        <w:rPr>
          <w:lang w:val="en-US"/>
        </w:rPr>
      </w:pPr>
    </w:p>
    <w:p w14:paraId="78536516" w14:textId="75FE80D2" w:rsidR="00E72187" w:rsidRPr="00E72187" w:rsidRDefault="00E72187" w:rsidP="00E72187">
      <w:pPr>
        <w:jc w:val="both"/>
        <w:rPr>
          <w:lang w:val="en-US"/>
        </w:rPr>
      </w:pPr>
      <w:r w:rsidRPr="00E72187">
        <w:rPr>
          <w:lang w:val="en-US"/>
        </w:rPr>
        <w:t>Christina Maslach; Susan E Jackson; Michael P. (1996). Maslach burnout inventory (third). Palo Alto, California Consulting Psychologist Press.</w:t>
      </w:r>
    </w:p>
    <w:p w14:paraId="3259E957" w14:textId="77777777" w:rsidR="00E72187" w:rsidRPr="00E72187" w:rsidRDefault="00E72187" w:rsidP="00E72187">
      <w:pPr>
        <w:jc w:val="both"/>
        <w:rPr>
          <w:lang w:val="en-US"/>
        </w:rPr>
      </w:pPr>
    </w:p>
    <w:p w14:paraId="56EEA79D" w14:textId="09CA9B7D" w:rsidR="00E72187" w:rsidRDefault="00E72187" w:rsidP="00E72187">
      <w:pPr>
        <w:jc w:val="both"/>
        <w:rPr>
          <w:lang w:val="en-US"/>
        </w:rPr>
      </w:pPr>
      <w:r w:rsidRPr="00E72187">
        <w:rPr>
          <w:lang w:val="en-US"/>
        </w:rPr>
        <w:t>Chen, W.S., Haniff, J., Siau, C.S., Seet, W., Loh, S.F., Jamil, M.H.A., Sa'ar, N. and Baharum, N. (2014). Translation, cross−cultural adaptation and validation of the Malay version of the Maslach Burnout Inventory (MBI) in Malaysia. International Journal of Social Science Study, 2 (66).</w:t>
      </w:r>
    </w:p>
    <w:p w14:paraId="4042F047" w14:textId="77777777" w:rsidR="00E11B25" w:rsidRDefault="00E11B25" w:rsidP="00E11B25">
      <w:pPr>
        <w:jc w:val="both"/>
        <w:rPr>
          <w:lang w:val="en-US"/>
        </w:rPr>
      </w:pPr>
    </w:p>
    <w:sectPr w:rsidR="00E1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2B4A"/>
    <w:multiLevelType w:val="hybridMultilevel"/>
    <w:tmpl w:val="953A6526"/>
    <w:lvl w:ilvl="0" w:tplc="8470294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16A77D9"/>
    <w:multiLevelType w:val="multilevel"/>
    <w:tmpl w:val="1C4288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24710E"/>
    <w:multiLevelType w:val="hybridMultilevel"/>
    <w:tmpl w:val="CA6ADD7A"/>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3175CC"/>
    <w:multiLevelType w:val="hybridMultilevel"/>
    <w:tmpl w:val="CB6208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423C4222"/>
    <w:multiLevelType w:val="hybridMultilevel"/>
    <w:tmpl w:val="86888ED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5C01002"/>
    <w:multiLevelType w:val="hybridMultilevel"/>
    <w:tmpl w:val="AFC00F1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7A4F7EB3"/>
    <w:multiLevelType w:val="hybridMultilevel"/>
    <w:tmpl w:val="6F42D2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23933558">
    <w:abstractNumId w:val="6"/>
  </w:num>
  <w:num w:numId="2" w16cid:durableId="2022312663">
    <w:abstractNumId w:val="1"/>
  </w:num>
  <w:num w:numId="3" w16cid:durableId="1476680794">
    <w:abstractNumId w:val="0"/>
  </w:num>
  <w:num w:numId="4" w16cid:durableId="1782264993">
    <w:abstractNumId w:val="4"/>
  </w:num>
  <w:num w:numId="5" w16cid:durableId="1669285359">
    <w:abstractNumId w:val="2"/>
  </w:num>
  <w:num w:numId="6" w16cid:durableId="2121410056">
    <w:abstractNumId w:val="3"/>
  </w:num>
  <w:num w:numId="7" w16cid:durableId="1738820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FE"/>
    <w:rsid w:val="00080CBD"/>
    <w:rsid w:val="00087823"/>
    <w:rsid w:val="000C31DF"/>
    <w:rsid w:val="000E02FE"/>
    <w:rsid w:val="000E1FC9"/>
    <w:rsid w:val="00323D13"/>
    <w:rsid w:val="00427734"/>
    <w:rsid w:val="007F3448"/>
    <w:rsid w:val="009701EC"/>
    <w:rsid w:val="00A2115D"/>
    <w:rsid w:val="00B3737D"/>
    <w:rsid w:val="00C456AA"/>
    <w:rsid w:val="00CB0CB6"/>
    <w:rsid w:val="00D13B25"/>
    <w:rsid w:val="00E11B25"/>
    <w:rsid w:val="00E22F5F"/>
    <w:rsid w:val="00E72187"/>
    <w:rsid w:val="00EF33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CE88"/>
  <w15:chartTrackingRefBased/>
  <w15:docId w15:val="{83C6834E-23C3-4256-8771-38FB5BE8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1DF"/>
    <w:rPr>
      <w:kern w:val="0"/>
      <w:sz w:val="24"/>
      <w:szCs w:val="24"/>
      <w14:ligatures w14:val="none"/>
    </w:rPr>
  </w:style>
  <w:style w:type="paragraph" w:styleId="Heading1">
    <w:name w:val="heading 1"/>
    <w:basedOn w:val="Normal"/>
    <w:next w:val="Normal"/>
    <w:link w:val="Heading1Char1"/>
    <w:qFormat/>
    <w:rsid w:val="000C31D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0C31DF"/>
    <w:pPr>
      <w:keepNext/>
      <w:keepLines/>
      <w:spacing w:before="360" w:after="80"/>
      <w:outlineLvl w:val="1"/>
    </w:pPr>
    <w:rPr>
      <w:b/>
      <w:sz w:val="36"/>
      <w:szCs w:val="36"/>
    </w:rPr>
  </w:style>
  <w:style w:type="paragraph" w:styleId="Heading3">
    <w:name w:val="heading 3"/>
    <w:basedOn w:val="Normal"/>
    <w:next w:val="Normal"/>
    <w:link w:val="Heading3Char"/>
    <w:qFormat/>
    <w:rsid w:val="000C31DF"/>
    <w:pPr>
      <w:keepNext/>
      <w:keepLines/>
      <w:spacing w:before="280" w:after="80"/>
      <w:outlineLvl w:val="2"/>
    </w:pPr>
    <w:rPr>
      <w:b/>
      <w:sz w:val="28"/>
      <w:szCs w:val="28"/>
    </w:rPr>
  </w:style>
  <w:style w:type="paragraph" w:styleId="Heading4">
    <w:name w:val="heading 4"/>
    <w:basedOn w:val="Normal"/>
    <w:next w:val="Normal"/>
    <w:link w:val="Heading4Char"/>
    <w:qFormat/>
    <w:rsid w:val="000C31DF"/>
    <w:pPr>
      <w:keepNext/>
      <w:keepLines/>
      <w:spacing w:before="240" w:after="40"/>
      <w:outlineLvl w:val="3"/>
    </w:pPr>
    <w:rPr>
      <w:b/>
    </w:rPr>
  </w:style>
  <w:style w:type="paragraph" w:styleId="Heading5">
    <w:name w:val="heading 5"/>
    <w:basedOn w:val="Normal"/>
    <w:next w:val="Normal"/>
    <w:link w:val="Heading5Char"/>
    <w:qFormat/>
    <w:rsid w:val="000C31DF"/>
    <w:pPr>
      <w:keepNext/>
      <w:keepLines/>
      <w:spacing w:before="220" w:after="40"/>
      <w:outlineLvl w:val="4"/>
    </w:pPr>
    <w:rPr>
      <w:b/>
      <w:sz w:val="22"/>
      <w:szCs w:val="22"/>
    </w:rPr>
  </w:style>
  <w:style w:type="paragraph" w:styleId="Heading6">
    <w:name w:val="heading 6"/>
    <w:basedOn w:val="Normal"/>
    <w:next w:val="Normal"/>
    <w:link w:val="Heading6Char"/>
    <w:qFormat/>
    <w:rsid w:val="000C31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qFormat/>
    <w:rsid w:val="000C31DF"/>
    <w:rPr>
      <w:rFonts w:ascii="Calibri" w:eastAsia="Calibri" w:hAnsi="Calibri"/>
      <w:w w:val="100"/>
      <w:position w:val="-1"/>
      <w:vertAlign w:val="baseline"/>
      <w:cs w:val="0"/>
    </w:rPr>
  </w:style>
  <w:style w:type="character" w:customStyle="1" w:styleId="apple-converted-space">
    <w:name w:val="apple-converted-space"/>
    <w:qFormat/>
    <w:rsid w:val="000C31DF"/>
    <w:rPr>
      <w:w w:val="100"/>
      <w:position w:val="-1"/>
      <w:vertAlign w:val="baseline"/>
      <w:cs w:val="0"/>
    </w:rPr>
  </w:style>
  <w:style w:type="character" w:customStyle="1" w:styleId="FooterChar">
    <w:name w:val="Footer Char"/>
    <w:uiPriority w:val="99"/>
    <w:qFormat/>
    <w:rsid w:val="000C31DF"/>
    <w:rPr>
      <w:w w:val="100"/>
      <w:position w:val="-1"/>
      <w:sz w:val="24"/>
      <w:szCs w:val="24"/>
      <w:vertAlign w:val="baseline"/>
      <w:cs w:val="0"/>
      <w:lang w:eastAsia="ja-JP"/>
    </w:rPr>
  </w:style>
  <w:style w:type="character" w:customStyle="1" w:styleId="CommentTextChar">
    <w:name w:val="Comment Text Char"/>
    <w:qFormat/>
    <w:rsid w:val="000C31DF"/>
    <w:rPr>
      <w:w w:val="100"/>
      <w:position w:val="-1"/>
      <w:vertAlign w:val="baseline"/>
      <w:cs w:val="0"/>
      <w:lang w:val="en-US" w:eastAsia="ja-JP"/>
    </w:rPr>
  </w:style>
  <w:style w:type="character" w:customStyle="1" w:styleId="apple-style-span">
    <w:name w:val="apple-style-span"/>
    <w:qFormat/>
    <w:rsid w:val="000C31DF"/>
    <w:rPr>
      <w:w w:val="100"/>
      <w:position w:val="-1"/>
      <w:vertAlign w:val="baseline"/>
      <w:cs w:val="0"/>
    </w:rPr>
  </w:style>
  <w:style w:type="character" w:customStyle="1" w:styleId="Heading1Char">
    <w:name w:val="Heading 1 Char"/>
    <w:qFormat/>
    <w:rsid w:val="000C31DF"/>
    <w:rPr>
      <w:b/>
      <w:bCs/>
      <w:w w:val="100"/>
      <w:kern w:val="36"/>
      <w:position w:val="-1"/>
      <w:sz w:val="48"/>
      <w:szCs w:val="48"/>
      <w:vertAlign w:val="baseline"/>
      <w:cs w:val="0"/>
    </w:rPr>
  </w:style>
  <w:style w:type="character" w:customStyle="1" w:styleId="HeaderChar">
    <w:name w:val="Header Char"/>
    <w:uiPriority w:val="99"/>
    <w:qFormat/>
    <w:rsid w:val="000C31DF"/>
    <w:rPr>
      <w:w w:val="100"/>
      <w:position w:val="-1"/>
      <w:sz w:val="24"/>
      <w:szCs w:val="24"/>
      <w:vertAlign w:val="baseline"/>
      <w:cs w:val="0"/>
      <w:lang w:eastAsia="ja-JP"/>
    </w:rPr>
  </w:style>
  <w:style w:type="character" w:customStyle="1" w:styleId="BalloonTextChar">
    <w:name w:val="Balloon Text Char"/>
    <w:qFormat/>
    <w:rsid w:val="000C31DF"/>
    <w:rPr>
      <w:rFonts w:ascii="Tahoma" w:hAnsi="Tahoma" w:cs="Tahoma"/>
      <w:w w:val="100"/>
      <w:position w:val="-1"/>
      <w:sz w:val="16"/>
      <w:szCs w:val="16"/>
      <w:vertAlign w:val="baseline"/>
      <w:cs w:val="0"/>
      <w:lang w:eastAsia="ja-JP"/>
    </w:rPr>
  </w:style>
  <w:style w:type="character" w:customStyle="1" w:styleId="Date1">
    <w:name w:val="Date1"/>
    <w:qFormat/>
    <w:rsid w:val="000C31DF"/>
    <w:rPr>
      <w:w w:val="100"/>
      <w:position w:val="-1"/>
      <w:vertAlign w:val="baseline"/>
      <w:cs w:val="0"/>
    </w:rPr>
  </w:style>
  <w:style w:type="character" w:customStyle="1" w:styleId="CommentSubjectChar">
    <w:name w:val="Comment Subject Char"/>
    <w:qFormat/>
    <w:rsid w:val="000C31DF"/>
    <w:rPr>
      <w:b/>
      <w:bCs/>
      <w:w w:val="100"/>
      <w:position w:val="-1"/>
      <w:vertAlign w:val="baseline"/>
      <w:cs w:val="0"/>
      <w:lang w:val="en-US" w:eastAsia="ja-JP"/>
    </w:rPr>
  </w:style>
  <w:style w:type="paragraph" w:customStyle="1" w:styleId="lead">
    <w:name w:val="lead"/>
    <w:basedOn w:val="Normal"/>
    <w:qFormat/>
    <w:rsid w:val="000C31DF"/>
    <w:pPr>
      <w:spacing w:before="100" w:beforeAutospacing="1" w:after="100" w:afterAutospacing="1"/>
    </w:pPr>
    <w:rPr>
      <w:lang w:eastAsia="en-MY"/>
    </w:rPr>
  </w:style>
  <w:style w:type="character" w:customStyle="1" w:styleId="UnresolvedMention1">
    <w:name w:val="Unresolved Mention1"/>
    <w:uiPriority w:val="99"/>
    <w:semiHidden/>
    <w:unhideWhenUsed/>
    <w:qFormat/>
    <w:rsid w:val="000C31DF"/>
    <w:rPr>
      <w:color w:val="605E5C"/>
      <w:shd w:val="clear" w:color="auto" w:fill="E1DFDD"/>
    </w:rPr>
  </w:style>
  <w:style w:type="character" w:customStyle="1" w:styleId="UnresolvedMention2">
    <w:name w:val="Unresolved Mention2"/>
    <w:uiPriority w:val="99"/>
    <w:semiHidden/>
    <w:unhideWhenUsed/>
    <w:qFormat/>
    <w:rsid w:val="000C31DF"/>
    <w:rPr>
      <w:color w:val="605E5C"/>
      <w:shd w:val="clear" w:color="auto" w:fill="E1DFDD"/>
    </w:rPr>
  </w:style>
  <w:style w:type="paragraph" w:customStyle="1" w:styleId="TableParagraph">
    <w:name w:val="Table Paragraph"/>
    <w:basedOn w:val="Normal"/>
    <w:uiPriority w:val="1"/>
    <w:qFormat/>
    <w:rsid w:val="000C31DF"/>
    <w:pPr>
      <w:widowControl w:val="0"/>
      <w:autoSpaceDE w:val="0"/>
      <w:autoSpaceDN w:val="0"/>
    </w:pPr>
    <w:rPr>
      <w:rFonts w:ascii="Arial" w:eastAsia="Arial" w:hAnsi="Arial" w:cs="Arial"/>
      <w:sz w:val="22"/>
      <w:szCs w:val="22"/>
    </w:rPr>
  </w:style>
  <w:style w:type="character" w:customStyle="1" w:styleId="UnresolvedMention3">
    <w:name w:val="Unresolved Mention3"/>
    <w:uiPriority w:val="99"/>
    <w:semiHidden/>
    <w:unhideWhenUsed/>
    <w:qFormat/>
    <w:rsid w:val="000C31DF"/>
    <w:rPr>
      <w:color w:val="605E5C"/>
      <w:shd w:val="clear" w:color="auto" w:fill="E1DFDD"/>
    </w:rPr>
  </w:style>
  <w:style w:type="character" w:customStyle="1" w:styleId="normaltextrun">
    <w:name w:val="normaltextrun"/>
    <w:basedOn w:val="DefaultParagraphFont"/>
    <w:qFormat/>
    <w:rsid w:val="000C31DF"/>
  </w:style>
  <w:style w:type="character" w:customStyle="1" w:styleId="eop">
    <w:name w:val="eop"/>
    <w:basedOn w:val="DefaultParagraphFont"/>
    <w:qFormat/>
    <w:rsid w:val="000C31DF"/>
  </w:style>
  <w:style w:type="paragraph" w:customStyle="1" w:styleId="paragraph">
    <w:name w:val="paragraph"/>
    <w:basedOn w:val="Normal"/>
    <w:qFormat/>
    <w:rsid w:val="000C31DF"/>
    <w:pPr>
      <w:spacing w:before="100" w:beforeAutospacing="1" w:after="100" w:afterAutospacing="1"/>
    </w:pPr>
    <w:rPr>
      <w:lang w:eastAsia="en-MY"/>
    </w:rPr>
  </w:style>
  <w:style w:type="character" w:customStyle="1" w:styleId="UnresolvedMention4">
    <w:name w:val="Unresolved Mention4"/>
    <w:basedOn w:val="DefaultParagraphFont"/>
    <w:uiPriority w:val="99"/>
    <w:semiHidden/>
    <w:unhideWhenUsed/>
    <w:qFormat/>
    <w:rsid w:val="000C31DF"/>
    <w:rPr>
      <w:color w:val="605E5C"/>
      <w:shd w:val="clear" w:color="auto" w:fill="E1DFDD"/>
    </w:rPr>
  </w:style>
  <w:style w:type="paragraph" w:customStyle="1" w:styleId="msonormal0">
    <w:name w:val="msonormal"/>
    <w:basedOn w:val="Normal"/>
    <w:qFormat/>
    <w:rsid w:val="000C31DF"/>
    <w:pPr>
      <w:spacing w:before="100" w:beforeAutospacing="1" w:after="100" w:afterAutospacing="1"/>
    </w:pPr>
    <w:rPr>
      <w:lang w:val="ms-MY" w:eastAsia="ms-MY"/>
    </w:rPr>
  </w:style>
  <w:style w:type="paragraph" w:customStyle="1" w:styleId="xl79">
    <w:name w:val="xl79"/>
    <w:basedOn w:val="Normal"/>
    <w:qFormat/>
    <w:rsid w:val="000C31DF"/>
    <w:pPr>
      <w:spacing w:before="100" w:beforeAutospacing="1" w:after="100" w:afterAutospacing="1"/>
      <w:jc w:val="center"/>
      <w:textAlignment w:val="center"/>
    </w:pPr>
    <w:rPr>
      <w:lang w:val="ms-MY" w:eastAsia="ms-MY"/>
    </w:rPr>
  </w:style>
  <w:style w:type="paragraph" w:customStyle="1" w:styleId="xl80">
    <w:name w:val="xl80"/>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ms-MY" w:eastAsia="ms-MY"/>
    </w:rPr>
  </w:style>
  <w:style w:type="paragraph" w:customStyle="1" w:styleId="xl81">
    <w:name w:val="xl81"/>
    <w:basedOn w:val="Normal"/>
    <w:qFormat/>
    <w:rsid w:val="000C31DF"/>
    <w:pPr>
      <w:spacing w:before="100" w:beforeAutospacing="1" w:after="100" w:afterAutospacing="1"/>
      <w:textAlignment w:val="center"/>
    </w:pPr>
    <w:rPr>
      <w:lang w:val="ms-MY" w:eastAsia="ms-MY"/>
    </w:rPr>
  </w:style>
  <w:style w:type="paragraph" w:customStyle="1" w:styleId="xl82">
    <w:name w:val="xl82"/>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ms-MY" w:eastAsia="ms-MY"/>
    </w:rPr>
  </w:style>
  <w:style w:type="paragraph" w:customStyle="1" w:styleId="xl83">
    <w:name w:val="xl83"/>
    <w:basedOn w:val="Normal"/>
    <w:qFormat/>
    <w:rsid w:val="000C31D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textAlignment w:val="center"/>
    </w:pPr>
    <w:rPr>
      <w:rFonts w:ascii="Calibri" w:hAnsi="Calibri" w:cs="Calibri"/>
      <w:b/>
      <w:bCs/>
      <w:lang w:val="ms-MY" w:eastAsia="ms-MY"/>
    </w:rPr>
  </w:style>
  <w:style w:type="paragraph" w:customStyle="1" w:styleId="xl84">
    <w:name w:val="xl84"/>
    <w:basedOn w:val="Normal"/>
    <w:qFormat/>
    <w:rsid w:val="000C31D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Calibri" w:hAnsi="Calibri" w:cs="Calibri"/>
      <w:b/>
      <w:bCs/>
      <w:lang w:val="ms-MY" w:eastAsia="ms-MY"/>
    </w:rPr>
  </w:style>
  <w:style w:type="paragraph" w:customStyle="1" w:styleId="xl85">
    <w:name w:val="xl85"/>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lang w:val="ms-MY" w:eastAsia="ms-MY"/>
    </w:rPr>
  </w:style>
  <w:style w:type="paragraph" w:customStyle="1" w:styleId="xl77">
    <w:name w:val="xl77"/>
    <w:basedOn w:val="Normal"/>
    <w:qFormat/>
    <w:rsid w:val="000C31DF"/>
    <w:pPr>
      <w:spacing w:before="100" w:beforeAutospacing="1" w:after="100" w:afterAutospacing="1"/>
      <w:jc w:val="center"/>
      <w:textAlignment w:val="center"/>
    </w:pPr>
    <w:rPr>
      <w:lang w:val="ms-MY" w:eastAsia="ms-MY"/>
    </w:rPr>
  </w:style>
  <w:style w:type="paragraph" w:customStyle="1" w:styleId="xl78">
    <w:name w:val="xl78"/>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ms-MY" w:eastAsia="ms-MY"/>
    </w:rPr>
  </w:style>
  <w:style w:type="paragraph" w:customStyle="1" w:styleId="xl70">
    <w:name w:val="xl70"/>
    <w:basedOn w:val="Normal"/>
    <w:qFormat/>
    <w:rsid w:val="000C31DF"/>
    <w:pPr>
      <w:spacing w:before="100" w:beforeAutospacing="1" w:after="100" w:afterAutospacing="1"/>
      <w:jc w:val="center"/>
    </w:pPr>
    <w:rPr>
      <w:lang w:val="ms-MY" w:eastAsia="ms-MY"/>
    </w:rPr>
  </w:style>
  <w:style w:type="paragraph" w:customStyle="1" w:styleId="xl71">
    <w:name w:val="xl71"/>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ms-MY" w:eastAsia="ms-MY"/>
    </w:rPr>
  </w:style>
  <w:style w:type="paragraph" w:customStyle="1" w:styleId="xl72">
    <w:name w:val="xl72"/>
    <w:basedOn w:val="Normal"/>
    <w:qFormat/>
    <w:rsid w:val="000C31DF"/>
    <w:pPr>
      <w:pBdr>
        <w:top w:val="single" w:sz="4" w:space="0" w:color="auto"/>
        <w:left w:val="single" w:sz="4" w:space="0" w:color="auto"/>
        <w:bottom w:val="single" w:sz="4" w:space="0" w:color="auto"/>
        <w:right w:val="single" w:sz="4" w:space="0" w:color="auto"/>
      </w:pBdr>
      <w:shd w:val="clear" w:color="auto" w:fill="A9D08E"/>
      <w:spacing w:before="100" w:beforeAutospacing="1" w:after="100" w:afterAutospacing="1"/>
      <w:jc w:val="center"/>
    </w:pPr>
    <w:rPr>
      <w:rFonts w:ascii="Calibri" w:hAnsi="Calibri"/>
      <w:b/>
      <w:bCs/>
      <w:lang w:val="ms-MY" w:eastAsia="ms-MY"/>
    </w:rPr>
  </w:style>
  <w:style w:type="paragraph" w:customStyle="1" w:styleId="xl73">
    <w:name w:val="xl73"/>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lang w:val="ms-MY" w:eastAsia="ms-MY"/>
    </w:rPr>
  </w:style>
  <w:style w:type="paragraph" w:customStyle="1" w:styleId="xl74">
    <w:name w:val="xl74"/>
    <w:basedOn w:val="Normal"/>
    <w:qFormat/>
    <w:rsid w:val="000C31DF"/>
    <w:pPr>
      <w:spacing w:before="100" w:beforeAutospacing="1" w:after="100" w:afterAutospacing="1"/>
      <w:jc w:val="center"/>
    </w:pPr>
    <w:rPr>
      <w:rFonts w:ascii="Calibri" w:hAnsi="Calibri"/>
      <w:lang w:val="ms-MY" w:eastAsia="ms-MY"/>
    </w:rPr>
  </w:style>
  <w:style w:type="paragraph" w:customStyle="1" w:styleId="xl75">
    <w:name w:val="xl75"/>
    <w:basedOn w:val="Normal"/>
    <w:qFormat/>
    <w:rsid w:val="000C31DF"/>
    <w:pPr>
      <w:pBdr>
        <w:top w:val="single" w:sz="4" w:space="0" w:color="auto"/>
        <w:left w:val="single" w:sz="4" w:space="0" w:color="auto"/>
        <w:bottom w:val="single" w:sz="4" w:space="0" w:color="auto"/>
        <w:right w:val="single" w:sz="4" w:space="0" w:color="auto"/>
      </w:pBdr>
      <w:shd w:val="clear" w:color="auto" w:fill="A9D08E"/>
      <w:spacing w:before="100" w:beforeAutospacing="1" w:after="100" w:afterAutospacing="1"/>
      <w:jc w:val="center"/>
    </w:pPr>
    <w:rPr>
      <w:rFonts w:ascii="Calibri" w:hAnsi="Calibri"/>
      <w:b/>
      <w:bCs/>
      <w:lang w:val="ms-MY" w:eastAsia="ms-MY"/>
    </w:rPr>
  </w:style>
  <w:style w:type="paragraph" w:customStyle="1" w:styleId="xl76">
    <w:name w:val="xl76"/>
    <w:basedOn w:val="Normal"/>
    <w:qFormat/>
    <w:rsid w:val="000C31DF"/>
    <w:pPr>
      <w:pBdr>
        <w:top w:val="single" w:sz="4" w:space="0" w:color="auto"/>
        <w:left w:val="single" w:sz="4" w:space="0" w:color="auto"/>
        <w:bottom w:val="single" w:sz="4" w:space="0" w:color="auto"/>
        <w:right w:val="single" w:sz="4" w:space="0" w:color="auto"/>
      </w:pBdr>
      <w:spacing w:before="100" w:beforeAutospacing="1" w:after="100" w:afterAutospacing="1"/>
    </w:pPr>
    <w:rPr>
      <w:lang w:val="ms-MY" w:eastAsia="ms-MY"/>
    </w:rPr>
  </w:style>
  <w:style w:type="character" w:customStyle="1" w:styleId="UnresolvedMention5">
    <w:name w:val="Unresolved Mention5"/>
    <w:basedOn w:val="DefaultParagraphFont"/>
    <w:uiPriority w:val="99"/>
    <w:semiHidden/>
    <w:unhideWhenUsed/>
    <w:qFormat/>
    <w:rsid w:val="000C31DF"/>
    <w:rPr>
      <w:color w:val="605E5C"/>
      <w:shd w:val="clear" w:color="auto" w:fill="E1DFDD"/>
    </w:rPr>
  </w:style>
  <w:style w:type="character" w:customStyle="1" w:styleId="UnresolvedMention6">
    <w:name w:val="Unresolved Mention6"/>
    <w:basedOn w:val="DefaultParagraphFont"/>
    <w:uiPriority w:val="99"/>
    <w:semiHidden/>
    <w:unhideWhenUsed/>
    <w:qFormat/>
    <w:rsid w:val="000C31DF"/>
    <w:rPr>
      <w:color w:val="605E5C"/>
      <w:shd w:val="clear" w:color="auto" w:fill="E1DFDD"/>
    </w:rPr>
  </w:style>
  <w:style w:type="character" w:customStyle="1" w:styleId="UnresolvedMention7">
    <w:name w:val="Unresolved Mention7"/>
    <w:basedOn w:val="DefaultParagraphFont"/>
    <w:uiPriority w:val="99"/>
    <w:semiHidden/>
    <w:unhideWhenUsed/>
    <w:qFormat/>
    <w:rsid w:val="000C31DF"/>
    <w:rPr>
      <w:color w:val="605E5C"/>
      <w:shd w:val="clear" w:color="auto" w:fill="E1DFDD"/>
    </w:rPr>
  </w:style>
  <w:style w:type="character" w:customStyle="1" w:styleId="Heading1Char1">
    <w:name w:val="Heading 1 Char1"/>
    <w:basedOn w:val="DefaultParagraphFont"/>
    <w:link w:val="Heading1"/>
    <w:qFormat/>
    <w:rsid w:val="000C31DF"/>
    <w:rPr>
      <w:b/>
      <w:bCs/>
      <w:kern w:val="36"/>
      <w:sz w:val="48"/>
      <w:szCs w:val="48"/>
    </w:rPr>
  </w:style>
  <w:style w:type="character" w:customStyle="1" w:styleId="Heading2Char">
    <w:name w:val="Heading 2 Char"/>
    <w:basedOn w:val="DefaultParagraphFont"/>
    <w:link w:val="Heading2"/>
    <w:qFormat/>
    <w:rsid w:val="000C31DF"/>
    <w:rPr>
      <w:b/>
      <w:sz w:val="36"/>
      <w:szCs w:val="36"/>
    </w:rPr>
  </w:style>
  <w:style w:type="character" w:customStyle="1" w:styleId="Heading3Char">
    <w:name w:val="Heading 3 Char"/>
    <w:basedOn w:val="DefaultParagraphFont"/>
    <w:link w:val="Heading3"/>
    <w:qFormat/>
    <w:rsid w:val="000C31DF"/>
    <w:rPr>
      <w:b/>
      <w:sz w:val="28"/>
      <w:szCs w:val="28"/>
    </w:rPr>
  </w:style>
  <w:style w:type="character" w:customStyle="1" w:styleId="Heading4Char">
    <w:name w:val="Heading 4 Char"/>
    <w:basedOn w:val="DefaultParagraphFont"/>
    <w:link w:val="Heading4"/>
    <w:qFormat/>
    <w:rsid w:val="000C31DF"/>
    <w:rPr>
      <w:b/>
      <w:sz w:val="24"/>
      <w:szCs w:val="24"/>
    </w:rPr>
  </w:style>
  <w:style w:type="character" w:customStyle="1" w:styleId="Heading5Char">
    <w:name w:val="Heading 5 Char"/>
    <w:basedOn w:val="DefaultParagraphFont"/>
    <w:link w:val="Heading5"/>
    <w:qFormat/>
    <w:rsid w:val="000C31DF"/>
    <w:rPr>
      <w:b/>
      <w:sz w:val="22"/>
      <w:szCs w:val="22"/>
    </w:rPr>
  </w:style>
  <w:style w:type="character" w:customStyle="1" w:styleId="Heading6Char">
    <w:name w:val="Heading 6 Char"/>
    <w:basedOn w:val="DefaultParagraphFont"/>
    <w:link w:val="Heading6"/>
    <w:qFormat/>
    <w:rsid w:val="000C31DF"/>
    <w:rPr>
      <w:b/>
    </w:rPr>
  </w:style>
  <w:style w:type="paragraph" w:styleId="CommentText">
    <w:name w:val="annotation text"/>
    <w:basedOn w:val="Normal"/>
    <w:link w:val="CommentTextChar1"/>
    <w:qFormat/>
    <w:rsid w:val="000C31DF"/>
    <w:rPr>
      <w:sz w:val="20"/>
      <w:szCs w:val="20"/>
    </w:rPr>
  </w:style>
  <w:style w:type="character" w:customStyle="1" w:styleId="CommentTextChar1">
    <w:name w:val="Comment Text Char1"/>
    <w:basedOn w:val="DefaultParagraphFont"/>
    <w:link w:val="CommentText"/>
    <w:qFormat/>
    <w:rsid w:val="000C31DF"/>
  </w:style>
  <w:style w:type="paragraph" w:styleId="Header">
    <w:name w:val="header"/>
    <w:basedOn w:val="Normal"/>
    <w:link w:val="HeaderChar1"/>
    <w:uiPriority w:val="99"/>
    <w:qFormat/>
    <w:rsid w:val="000C31DF"/>
    <w:pPr>
      <w:tabs>
        <w:tab w:val="center" w:pos="4680"/>
        <w:tab w:val="right" w:pos="9360"/>
      </w:tabs>
    </w:pPr>
  </w:style>
  <w:style w:type="character" w:customStyle="1" w:styleId="HeaderChar1">
    <w:name w:val="Header Char1"/>
    <w:basedOn w:val="DefaultParagraphFont"/>
    <w:link w:val="Header"/>
    <w:uiPriority w:val="99"/>
    <w:qFormat/>
    <w:rsid w:val="000C31DF"/>
    <w:rPr>
      <w:sz w:val="24"/>
      <w:szCs w:val="24"/>
    </w:rPr>
  </w:style>
  <w:style w:type="paragraph" w:styleId="Footer">
    <w:name w:val="footer"/>
    <w:basedOn w:val="Normal"/>
    <w:link w:val="FooterChar1"/>
    <w:uiPriority w:val="99"/>
    <w:qFormat/>
    <w:rsid w:val="000C31DF"/>
    <w:pPr>
      <w:tabs>
        <w:tab w:val="center" w:pos="4680"/>
        <w:tab w:val="right" w:pos="9360"/>
      </w:tabs>
    </w:pPr>
  </w:style>
  <w:style w:type="character" w:customStyle="1" w:styleId="FooterChar1">
    <w:name w:val="Footer Char1"/>
    <w:basedOn w:val="DefaultParagraphFont"/>
    <w:link w:val="Footer"/>
    <w:uiPriority w:val="99"/>
    <w:qFormat/>
    <w:rsid w:val="000C31DF"/>
    <w:rPr>
      <w:sz w:val="24"/>
      <w:szCs w:val="24"/>
    </w:rPr>
  </w:style>
  <w:style w:type="paragraph" w:styleId="Caption">
    <w:name w:val="caption"/>
    <w:basedOn w:val="Normal"/>
    <w:next w:val="Normal"/>
    <w:uiPriority w:val="35"/>
    <w:unhideWhenUsed/>
    <w:qFormat/>
    <w:rsid w:val="000C31DF"/>
    <w:pPr>
      <w:spacing w:after="200"/>
    </w:pPr>
    <w:rPr>
      <w:rFonts w:asciiTheme="minorHAnsi" w:eastAsiaTheme="minorEastAsia" w:hAnsiTheme="minorHAnsi" w:cstheme="minorBidi"/>
      <w:i/>
      <w:iCs/>
      <w:color w:val="1F497D" w:themeColor="text2"/>
      <w:sz w:val="18"/>
      <w:szCs w:val="18"/>
      <w:lang w:eastAsia="ko-KR"/>
    </w:rPr>
  </w:style>
  <w:style w:type="character" w:styleId="CommentReference">
    <w:name w:val="annotation reference"/>
    <w:qFormat/>
    <w:rsid w:val="000C31DF"/>
    <w:rPr>
      <w:w w:val="100"/>
      <w:position w:val="-1"/>
      <w:sz w:val="16"/>
      <w:szCs w:val="16"/>
      <w:vertAlign w:val="baseline"/>
      <w:cs w:val="0"/>
    </w:rPr>
  </w:style>
  <w:style w:type="paragraph" w:styleId="Title">
    <w:name w:val="Title"/>
    <w:basedOn w:val="Normal"/>
    <w:next w:val="Normal"/>
    <w:link w:val="TitleChar"/>
    <w:qFormat/>
    <w:rsid w:val="000C31DF"/>
    <w:pPr>
      <w:keepNext/>
      <w:keepLines/>
      <w:spacing w:before="480" w:after="120"/>
    </w:pPr>
    <w:rPr>
      <w:b/>
      <w:sz w:val="72"/>
      <w:szCs w:val="72"/>
    </w:rPr>
  </w:style>
  <w:style w:type="character" w:customStyle="1" w:styleId="TitleChar">
    <w:name w:val="Title Char"/>
    <w:basedOn w:val="DefaultParagraphFont"/>
    <w:link w:val="Title"/>
    <w:qFormat/>
    <w:rsid w:val="000C31DF"/>
    <w:rPr>
      <w:b/>
      <w:sz w:val="72"/>
      <w:szCs w:val="72"/>
    </w:rPr>
  </w:style>
  <w:style w:type="paragraph" w:styleId="BodyText">
    <w:name w:val="Body Text"/>
    <w:basedOn w:val="Normal"/>
    <w:link w:val="BodyTextChar"/>
    <w:uiPriority w:val="1"/>
    <w:qFormat/>
    <w:rsid w:val="000C31DF"/>
    <w:pPr>
      <w:widowControl w:val="0"/>
      <w:autoSpaceDE w:val="0"/>
      <w:autoSpaceDN w:val="0"/>
    </w:pPr>
    <w:rPr>
      <w:rFonts w:ascii="Arial" w:eastAsia="Arial" w:hAnsi="Arial"/>
      <w:sz w:val="27"/>
      <w:szCs w:val="27"/>
      <w:lang w:val="ms" w:eastAsia="ms"/>
    </w:rPr>
  </w:style>
  <w:style w:type="character" w:customStyle="1" w:styleId="BodyTextChar">
    <w:name w:val="Body Text Char"/>
    <w:basedOn w:val="DefaultParagraphFont"/>
    <w:link w:val="BodyText"/>
    <w:uiPriority w:val="1"/>
    <w:qFormat/>
    <w:rsid w:val="000C31DF"/>
    <w:rPr>
      <w:rFonts w:ascii="Arial" w:eastAsia="Arial" w:hAnsi="Arial"/>
      <w:sz w:val="27"/>
      <w:szCs w:val="27"/>
      <w:lang w:val="ms" w:eastAsia="ms"/>
    </w:rPr>
  </w:style>
  <w:style w:type="paragraph" w:styleId="Subtitle">
    <w:name w:val="Subtitle"/>
    <w:basedOn w:val="Normal"/>
    <w:next w:val="Normal"/>
    <w:link w:val="SubtitleChar"/>
    <w:qFormat/>
    <w:rsid w:val="000C31D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qFormat/>
    <w:rsid w:val="000C31DF"/>
    <w:rPr>
      <w:rFonts w:ascii="Georgia" w:eastAsia="Georgia" w:hAnsi="Georgia" w:cs="Georgia"/>
      <w:i/>
      <w:color w:val="666666"/>
      <w:sz w:val="48"/>
      <w:szCs w:val="48"/>
    </w:rPr>
  </w:style>
  <w:style w:type="character" w:styleId="Hyperlink">
    <w:name w:val="Hyperlink"/>
    <w:uiPriority w:val="99"/>
    <w:qFormat/>
    <w:rsid w:val="000C31DF"/>
    <w:rPr>
      <w:color w:val="0000FF"/>
      <w:w w:val="100"/>
      <w:position w:val="-1"/>
      <w:u w:val="single"/>
      <w:vertAlign w:val="baseline"/>
      <w:cs w:val="0"/>
    </w:rPr>
  </w:style>
  <w:style w:type="character" w:styleId="FollowedHyperlink">
    <w:name w:val="FollowedHyperlink"/>
    <w:uiPriority w:val="99"/>
    <w:semiHidden/>
    <w:unhideWhenUsed/>
    <w:qFormat/>
    <w:rsid w:val="000C31DF"/>
    <w:rPr>
      <w:color w:val="800080"/>
      <w:u w:val="single"/>
    </w:rPr>
  </w:style>
  <w:style w:type="character" w:styleId="Strong">
    <w:name w:val="Strong"/>
    <w:uiPriority w:val="22"/>
    <w:qFormat/>
    <w:rsid w:val="000C31DF"/>
    <w:rPr>
      <w:b/>
      <w:bCs/>
      <w:w w:val="100"/>
      <w:position w:val="-1"/>
      <w:vertAlign w:val="baseline"/>
      <w:cs w:val="0"/>
    </w:rPr>
  </w:style>
  <w:style w:type="character" w:styleId="Emphasis">
    <w:name w:val="Emphasis"/>
    <w:uiPriority w:val="20"/>
    <w:qFormat/>
    <w:rsid w:val="000C31DF"/>
    <w:rPr>
      <w:i/>
      <w:iCs/>
      <w:w w:val="100"/>
      <w:position w:val="-1"/>
      <w:vertAlign w:val="baseline"/>
      <w:cs w:val="0"/>
    </w:rPr>
  </w:style>
  <w:style w:type="paragraph" w:styleId="NormalWeb">
    <w:name w:val="Normal (Web)"/>
    <w:basedOn w:val="Normal"/>
    <w:uiPriority w:val="99"/>
    <w:qFormat/>
    <w:rsid w:val="000C31DF"/>
    <w:pPr>
      <w:spacing w:before="100" w:beforeAutospacing="1" w:after="100" w:afterAutospacing="1"/>
    </w:pPr>
    <w:rPr>
      <w:lang w:eastAsia="en-MY"/>
    </w:rPr>
  </w:style>
  <w:style w:type="paragraph" w:styleId="CommentSubject">
    <w:name w:val="annotation subject"/>
    <w:basedOn w:val="CommentText"/>
    <w:next w:val="CommentText"/>
    <w:link w:val="CommentSubjectChar1"/>
    <w:qFormat/>
    <w:rsid w:val="000C31DF"/>
    <w:rPr>
      <w:b/>
      <w:bCs/>
    </w:rPr>
  </w:style>
  <w:style w:type="character" w:customStyle="1" w:styleId="CommentSubjectChar1">
    <w:name w:val="Comment Subject Char1"/>
    <w:basedOn w:val="CommentTextChar1"/>
    <w:link w:val="CommentSubject"/>
    <w:qFormat/>
    <w:rsid w:val="000C31DF"/>
    <w:rPr>
      <w:b/>
      <w:bCs/>
    </w:rPr>
  </w:style>
  <w:style w:type="paragraph" w:styleId="BalloonText">
    <w:name w:val="Balloon Text"/>
    <w:basedOn w:val="Normal"/>
    <w:link w:val="BalloonTextChar1"/>
    <w:qFormat/>
    <w:rsid w:val="000C31DF"/>
    <w:rPr>
      <w:rFonts w:ascii="Tahoma" w:hAnsi="Tahoma"/>
      <w:sz w:val="16"/>
      <w:szCs w:val="16"/>
    </w:rPr>
  </w:style>
  <w:style w:type="character" w:customStyle="1" w:styleId="BalloonTextChar1">
    <w:name w:val="Balloon Text Char1"/>
    <w:basedOn w:val="DefaultParagraphFont"/>
    <w:link w:val="BalloonText"/>
    <w:qFormat/>
    <w:rsid w:val="000C31DF"/>
    <w:rPr>
      <w:rFonts w:ascii="Tahoma" w:hAnsi="Tahoma"/>
      <w:sz w:val="16"/>
      <w:szCs w:val="16"/>
    </w:rPr>
  </w:style>
  <w:style w:type="paragraph" w:styleId="NoSpacing">
    <w:name w:val="No Spacing"/>
    <w:uiPriority w:val="1"/>
    <w:qFormat/>
    <w:rsid w:val="000C31DF"/>
    <w:pPr>
      <w:suppressAutoHyphens/>
      <w:spacing w:after="160" w:line="1" w:lineRule="atLeast"/>
      <w:ind w:leftChars="-1" w:left="-1" w:hangingChars="1" w:hanging="1"/>
      <w:textAlignment w:val="top"/>
      <w:outlineLvl w:val="0"/>
    </w:pPr>
    <w:rPr>
      <w:rFonts w:ascii="Calibri" w:eastAsia="Calibri" w:hAnsi="Calibri"/>
      <w:position w:val="-1"/>
      <w:sz w:val="22"/>
      <w:szCs w:val="22"/>
      <w:lang w:val="en-US"/>
    </w:rPr>
  </w:style>
  <w:style w:type="paragraph" w:styleId="ListParagraph">
    <w:name w:val="List Paragraph"/>
    <w:basedOn w:val="Normal"/>
    <w:uiPriority w:val="34"/>
    <w:qFormat/>
    <w:rsid w:val="000C31DF"/>
    <w:pPr>
      <w:spacing w:after="200" w:line="276" w:lineRule="auto"/>
      <w:ind w:left="720"/>
      <w:contextualSpacing/>
    </w:pPr>
    <w:rPr>
      <w:rFonts w:ascii="Calibri" w:eastAsia="Calibri" w:hAnsi="Calibri"/>
      <w:sz w:val="20"/>
      <w:szCs w:val="20"/>
    </w:rPr>
  </w:style>
  <w:style w:type="table" w:styleId="TableGrid">
    <w:name w:val="Table Grid"/>
    <w:basedOn w:val="TableNormal"/>
    <w:uiPriority w:val="39"/>
    <w:rsid w:val="00E7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Gunenthira Rao</dc:creator>
  <cp:keywords/>
  <dc:description/>
  <cp:lastModifiedBy>Gunenthira Rao</cp:lastModifiedBy>
  <cp:revision>11</cp:revision>
  <dcterms:created xsi:type="dcterms:W3CDTF">2023-09-28T02:09:00Z</dcterms:created>
  <dcterms:modified xsi:type="dcterms:W3CDTF">2023-09-29T02:43:00Z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4eef9e53-781f-4d12-8458-6d448feeffd9</vt:lpwstr>
  </property>
</Properties>
</file>