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48512178"/>
        <w:docPartObj>
          <w:docPartGallery w:val="Cover Pages"/>
          <w:docPartUnique/>
        </w:docPartObj>
      </w:sdtPr>
      <w:sdtEndPr/>
      <w:sdtContent>
        <w:p w:rsidR="00A57785" w:rsidRDefault="00A57785">
          <w:r>
            <w:rPr>
              <w:noProof/>
              <w:lang w:eastAsia="en-MY"/>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BC2F8C" w:rsidRPr="001B5411" w:rsidRDefault="00BC2F8C" w:rsidP="001B5411">
                                      <w:pPr>
                                        <w:pStyle w:val="NoSpacing"/>
                                        <w:spacing w:before="120" w:line="360" w:lineRule="auto"/>
                                        <w:jc w:val="center"/>
                                        <w:rPr>
                                          <w:rFonts w:ascii="Times New Roman" w:hAnsi="Times New Roman" w:cs="Times New Roman"/>
                                          <w:color w:val="FFFFFF" w:themeColor="background1"/>
                                          <w:sz w:val="24"/>
                                          <w:szCs w:val="24"/>
                                        </w:rPr>
                                      </w:pPr>
                                      <w:r w:rsidRPr="001B5411">
                                        <w:rPr>
                                          <w:rFonts w:ascii="Times New Roman" w:hAnsi="Times New Roman" w:cs="Times New Roman"/>
                                          <w:color w:val="FFFFFF" w:themeColor="background1"/>
                                          <w:sz w:val="24"/>
                                          <w:szCs w:val="24"/>
                                        </w:rPr>
                                        <w:t>Siti Nurbaya Shahrir</w:t>
                                      </w:r>
                                    </w:p>
                                  </w:sdtContent>
                                </w:sdt>
                                <w:p w:rsidR="00BC2F8C" w:rsidRPr="001B5411" w:rsidRDefault="00B0229A" w:rsidP="001B5411">
                                  <w:pPr>
                                    <w:pStyle w:val="NoSpacing"/>
                                    <w:spacing w:before="120" w:line="360" w:lineRule="auto"/>
                                    <w:jc w:val="center"/>
                                    <w:rPr>
                                      <w:rFonts w:ascii="Times New Roman" w:hAnsi="Times New Roman" w:cs="Times New Roman"/>
                                      <w:color w:val="FFFFFF" w:themeColor="background1"/>
                                      <w:sz w:val="24"/>
                                      <w:szCs w:val="24"/>
                                    </w:rPr>
                                  </w:pPr>
                                  <w:sdt>
                                    <w:sdtPr>
                                      <w:rPr>
                                        <w:rFonts w:ascii="Times New Roman" w:hAnsi="Times New Roman" w:cs="Times New Roman"/>
                                        <w:caps/>
                                        <w:color w:val="FFFFFF" w:themeColor="background1"/>
                                        <w:sz w:val="24"/>
                                        <w:szCs w:val="24"/>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C2F8C" w:rsidRPr="001B5411">
                                        <w:rPr>
                                          <w:rFonts w:ascii="Times New Roman" w:hAnsi="Times New Roman" w:cs="Times New Roman"/>
                                          <w:color w:val="FFFFFF" w:themeColor="background1"/>
                                          <w:sz w:val="24"/>
                                          <w:szCs w:val="24"/>
                                        </w:rPr>
                                        <w:t>Ministry of Health</w:t>
                                      </w:r>
                                    </w:sdtContent>
                                  </w:sdt>
                                  <w:r w:rsidR="00BC2F8C" w:rsidRPr="001B5411">
                                    <w:rPr>
                                      <w:rFonts w:ascii="Times New Roman" w:hAnsi="Times New Roman" w:cs="Times New Roman"/>
                                      <w:color w:val="FFFFFF" w:themeColor="background1"/>
                                      <w:sz w:val="24"/>
                                      <w:szCs w:val="24"/>
                                    </w:rPr>
                                    <w:t>  </w:t>
                                  </w:r>
                                  <w:sdt>
                                    <w:sdtPr>
                                      <w:rPr>
                                        <w:rFonts w:ascii="Times New Roman" w:hAnsi="Times New Roman" w:cs="Times New Roman"/>
                                        <w:color w:val="FFFFFF" w:themeColor="background1"/>
                                        <w:sz w:val="24"/>
                                        <w:szCs w:val="24"/>
                                      </w:rPr>
                                      <w:alias w:val="Address"/>
                                      <w:tag w:val=""/>
                                      <w:id w:val="-253358678"/>
                                      <w:dataBinding w:prefixMappings="xmlns:ns0='http://schemas.microsoft.com/office/2006/coverPageProps' " w:xpath="/ns0:CoverPageProperties[1]/ns0:CompanyAddress[1]" w:storeItemID="{55AF091B-3C7A-41E3-B477-F2FDAA23CFDA}"/>
                                      <w:text/>
                                    </w:sdtPr>
                                    <w:sdtEndPr/>
                                    <w:sdtContent>
                                      <w:r w:rsidR="00BC2F8C" w:rsidRPr="001B5411">
                                        <w:rPr>
                                          <w:rFonts w:ascii="Times New Roman" w:hAnsi="Times New Roman" w:cs="Times New Roman"/>
                                          <w:color w:val="FFFFFF" w:themeColor="background1"/>
                                          <w:sz w:val="24"/>
                                          <w:szCs w:val="24"/>
                                        </w:rPr>
                                        <w:t>Malalaysia</w:t>
                                      </w:r>
                                    </w:sdtContent>
                                  </w:sdt>
                                </w:p>
                                <w:p w:rsidR="00BC2F8C" w:rsidRPr="001B5411" w:rsidRDefault="00D23BC9" w:rsidP="001B5411">
                                  <w:pPr>
                                    <w:pStyle w:val="NoSpacing"/>
                                    <w:spacing w:before="120" w:line="36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30 Disember</w:t>
                                  </w:r>
                                  <w:r w:rsidR="00BC2F8C" w:rsidRPr="001B5411">
                                    <w:rPr>
                                      <w:rFonts w:ascii="Times New Roman" w:hAnsi="Times New Roman" w:cs="Times New Roman"/>
                                      <w:color w:val="FFFFFF" w:themeColor="background1"/>
                                      <w:sz w:val="24"/>
                                      <w:szCs w:val="24"/>
                                    </w:rPr>
                                    <w:t xml:space="preserve"> 2022</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000000" w:themeColor="text1"/>
                                      <w:sz w:val="52"/>
                                      <w:szCs w:val="5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BC2F8C" w:rsidRPr="008E62CF" w:rsidRDefault="00BC2F8C">
                                      <w:pPr>
                                        <w:pStyle w:val="NoSpacing"/>
                                        <w:jc w:val="center"/>
                                        <w:rPr>
                                          <w:rFonts w:ascii="Times New Roman" w:eastAsiaTheme="majorEastAsia" w:hAnsi="Times New Roman" w:cs="Times New Roman"/>
                                          <w:caps/>
                                          <w:color w:val="000000" w:themeColor="text1"/>
                                          <w:sz w:val="52"/>
                                          <w:szCs w:val="52"/>
                                        </w:rPr>
                                      </w:pPr>
                                      <w:r>
                                        <w:rPr>
                                          <w:rFonts w:ascii="Times New Roman" w:eastAsiaTheme="majorEastAsia" w:hAnsi="Times New Roman" w:cs="Times New Roman"/>
                                          <w:color w:val="000000" w:themeColor="text1"/>
                                          <w:sz w:val="52"/>
                                          <w:szCs w:val="52"/>
                                        </w:rPr>
                                        <w:t>Development of a</w:t>
                                      </w:r>
                                      <w:r w:rsidRPr="008E62CF">
                                        <w:rPr>
                                          <w:rFonts w:ascii="Times New Roman" w:eastAsiaTheme="majorEastAsia" w:hAnsi="Times New Roman" w:cs="Times New Roman"/>
                                          <w:color w:val="000000" w:themeColor="text1"/>
                                          <w:sz w:val="52"/>
                                          <w:szCs w:val="52"/>
                                        </w:rPr>
                                        <w:t>n Online Electronic Health Record System User Training Modules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Times New Roman" w:hAnsi="Times New Roman" w:cs="Times New Roman"/>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BC2F8C" w:rsidRPr="001B5411" w:rsidRDefault="00BC2F8C" w:rsidP="001B5411">
                                <w:pPr>
                                  <w:pStyle w:val="NoSpacing"/>
                                  <w:spacing w:before="120" w:line="360" w:lineRule="auto"/>
                                  <w:jc w:val="center"/>
                                  <w:rPr>
                                    <w:rFonts w:ascii="Times New Roman" w:hAnsi="Times New Roman" w:cs="Times New Roman"/>
                                    <w:color w:val="FFFFFF" w:themeColor="background1"/>
                                    <w:sz w:val="24"/>
                                    <w:szCs w:val="24"/>
                                  </w:rPr>
                                </w:pPr>
                                <w:r w:rsidRPr="001B5411">
                                  <w:rPr>
                                    <w:rFonts w:ascii="Times New Roman" w:hAnsi="Times New Roman" w:cs="Times New Roman"/>
                                    <w:color w:val="FFFFFF" w:themeColor="background1"/>
                                    <w:sz w:val="24"/>
                                    <w:szCs w:val="24"/>
                                  </w:rPr>
                                  <w:t>Siti Nurbaya Shahrir</w:t>
                                </w:r>
                              </w:p>
                            </w:sdtContent>
                          </w:sdt>
                          <w:p w:rsidR="00BC2F8C" w:rsidRPr="001B5411" w:rsidRDefault="00B0229A" w:rsidP="001B5411">
                            <w:pPr>
                              <w:pStyle w:val="NoSpacing"/>
                              <w:spacing w:before="120" w:line="360" w:lineRule="auto"/>
                              <w:jc w:val="center"/>
                              <w:rPr>
                                <w:rFonts w:ascii="Times New Roman" w:hAnsi="Times New Roman" w:cs="Times New Roman"/>
                                <w:color w:val="FFFFFF" w:themeColor="background1"/>
                                <w:sz w:val="24"/>
                                <w:szCs w:val="24"/>
                              </w:rPr>
                            </w:pPr>
                            <w:sdt>
                              <w:sdtPr>
                                <w:rPr>
                                  <w:rFonts w:ascii="Times New Roman" w:hAnsi="Times New Roman" w:cs="Times New Roman"/>
                                  <w:caps/>
                                  <w:color w:val="FFFFFF" w:themeColor="background1"/>
                                  <w:sz w:val="24"/>
                                  <w:szCs w:val="24"/>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C2F8C" w:rsidRPr="001B5411">
                                  <w:rPr>
                                    <w:rFonts w:ascii="Times New Roman" w:hAnsi="Times New Roman" w:cs="Times New Roman"/>
                                    <w:color w:val="FFFFFF" w:themeColor="background1"/>
                                    <w:sz w:val="24"/>
                                    <w:szCs w:val="24"/>
                                  </w:rPr>
                                  <w:t>Ministry of Health</w:t>
                                </w:r>
                              </w:sdtContent>
                            </w:sdt>
                            <w:r w:rsidR="00BC2F8C" w:rsidRPr="001B5411">
                              <w:rPr>
                                <w:rFonts w:ascii="Times New Roman" w:hAnsi="Times New Roman" w:cs="Times New Roman"/>
                                <w:color w:val="FFFFFF" w:themeColor="background1"/>
                                <w:sz w:val="24"/>
                                <w:szCs w:val="24"/>
                              </w:rPr>
                              <w:t>  </w:t>
                            </w:r>
                            <w:sdt>
                              <w:sdtPr>
                                <w:rPr>
                                  <w:rFonts w:ascii="Times New Roman" w:hAnsi="Times New Roman" w:cs="Times New Roman"/>
                                  <w:color w:val="FFFFFF" w:themeColor="background1"/>
                                  <w:sz w:val="24"/>
                                  <w:szCs w:val="24"/>
                                </w:rPr>
                                <w:alias w:val="Address"/>
                                <w:tag w:val=""/>
                                <w:id w:val="-253358678"/>
                                <w:dataBinding w:prefixMappings="xmlns:ns0='http://schemas.microsoft.com/office/2006/coverPageProps' " w:xpath="/ns0:CoverPageProperties[1]/ns0:CompanyAddress[1]" w:storeItemID="{55AF091B-3C7A-41E3-B477-F2FDAA23CFDA}"/>
                                <w:text/>
                              </w:sdtPr>
                              <w:sdtEndPr/>
                              <w:sdtContent>
                                <w:r w:rsidR="00BC2F8C" w:rsidRPr="001B5411">
                                  <w:rPr>
                                    <w:rFonts w:ascii="Times New Roman" w:hAnsi="Times New Roman" w:cs="Times New Roman"/>
                                    <w:color w:val="FFFFFF" w:themeColor="background1"/>
                                    <w:sz w:val="24"/>
                                    <w:szCs w:val="24"/>
                                  </w:rPr>
                                  <w:t>Malalaysia</w:t>
                                </w:r>
                              </w:sdtContent>
                            </w:sdt>
                          </w:p>
                          <w:p w:rsidR="00BC2F8C" w:rsidRPr="001B5411" w:rsidRDefault="00D23BC9" w:rsidP="001B5411">
                            <w:pPr>
                              <w:pStyle w:val="NoSpacing"/>
                              <w:spacing w:before="120" w:line="36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30 Disember</w:t>
                            </w:r>
                            <w:r w:rsidR="00BC2F8C" w:rsidRPr="001B5411">
                              <w:rPr>
                                <w:rFonts w:ascii="Times New Roman" w:hAnsi="Times New Roman" w:cs="Times New Roman"/>
                                <w:color w:val="FFFFFF" w:themeColor="background1"/>
                                <w:sz w:val="24"/>
                                <w:szCs w:val="24"/>
                              </w:rPr>
                              <w:t xml:space="preserve"> 2022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caps/>
                                <w:color w:val="000000" w:themeColor="text1"/>
                                <w:sz w:val="52"/>
                                <w:szCs w:val="5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BC2F8C" w:rsidRPr="008E62CF" w:rsidRDefault="00BC2F8C">
                                <w:pPr>
                                  <w:pStyle w:val="NoSpacing"/>
                                  <w:jc w:val="center"/>
                                  <w:rPr>
                                    <w:rFonts w:ascii="Times New Roman" w:eastAsiaTheme="majorEastAsia" w:hAnsi="Times New Roman" w:cs="Times New Roman"/>
                                    <w:caps/>
                                    <w:color w:val="000000" w:themeColor="text1"/>
                                    <w:sz w:val="52"/>
                                    <w:szCs w:val="52"/>
                                  </w:rPr>
                                </w:pPr>
                                <w:r>
                                  <w:rPr>
                                    <w:rFonts w:ascii="Times New Roman" w:eastAsiaTheme="majorEastAsia" w:hAnsi="Times New Roman" w:cs="Times New Roman"/>
                                    <w:color w:val="000000" w:themeColor="text1"/>
                                    <w:sz w:val="52"/>
                                    <w:szCs w:val="52"/>
                                  </w:rPr>
                                  <w:t>Development of a</w:t>
                                </w:r>
                                <w:r w:rsidRPr="008E62CF">
                                  <w:rPr>
                                    <w:rFonts w:ascii="Times New Roman" w:eastAsiaTheme="majorEastAsia" w:hAnsi="Times New Roman" w:cs="Times New Roman"/>
                                    <w:color w:val="000000" w:themeColor="text1"/>
                                    <w:sz w:val="52"/>
                                    <w:szCs w:val="52"/>
                                  </w:rPr>
                                  <w:t>n Online Electronic Health Record System User Training Modules</w:t>
                                </w:r>
                              </w:p>
                            </w:sdtContent>
                          </w:sdt>
                        </w:txbxContent>
                      </v:textbox>
                    </v:shape>
                    <w10:wrap anchorx="page" anchory="page"/>
                  </v:group>
                </w:pict>
              </mc:Fallback>
            </mc:AlternateContent>
          </w:r>
        </w:p>
        <w:p w:rsidR="00A57785" w:rsidRDefault="00A57785">
          <w:r>
            <w:br w:type="page"/>
          </w:r>
        </w:p>
      </w:sdtContent>
    </w:sdt>
    <w:sdt>
      <w:sdtPr>
        <w:rPr>
          <w:rFonts w:ascii="Times New Roman" w:eastAsiaTheme="minorHAnsi" w:hAnsi="Times New Roman" w:cs="Times New Roman"/>
          <w:color w:val="auto"/>
          <w:sz w:val="24"/>
          <w:szCs w:val="24"/>
          <w:lang w:val="en-MY"/>
        </w:rPr>
        <w:id w:val="-1340841854"/>
        <w:docPartObj>
          <w:docPartGallery w:val="Table of Contents"/>
          <w:docPartUnique/>
        </w:docPartObj>
      </w:sdtPr>
      <w:sdtEndPr>
        <w:rPr>
          <w:rFonts w:asciiTheme="minorHAnsi" w:hAnsiTheme="minorHAnsi" w:cstheme="minorBidi"/>
          <w:b/>
          <w:bCs/>
          <w:noProof/>
          <w:sz w:val="22"/>
          <w:szCs w:val="22"/>
        </w:rPr>
      </w:sdtEndPr>
      <w:sdtContent>
        <w:p w:rsidR="00BC0F3F" w:rsidRPr="006A7598" w:rsidRDefault="00BC0F3F">
          <w:pPr>
            <w:pStyle w:val="TOCHeading"/>
            <w:rPr>
              <w:rFonts w:ascii="Times New Roman" w:hAnsi="Times New Roman" w:cs="Times New Roman"/>
              <w:b/>
              <w:color w:val="000000" w:themeColor="text1"/>
              <w:sz w:val="24"/>
              <w:szCs w:val="24"/>
            </w:rPr>
          </w:pPr>
          <w:r w:rsidRPr="006A7598">
            <w:rPr>
              <w:rFonts w:ascii="Times New Roman" w:hAnsi="Times New Roman" w:cs="Times New Roman"/>
              <w:b/>
              <w:color w:val="000000" w:themeColor="text1"/>
              <w:sz w:val="24"/>
              <w:szCs w:val="24"/>
            </w:rPr>
            <w:t>Table of Contents</w:t>
          </w:r>
        </w:p>
        <w:p w:rsidR="00AD27F7" w:rsidRPr="006A7598" w:rsidRDefault="00AD27F7" w:rsidP="00AD27F7">
          <w:pPr>
            <w:rPr>
              <w:rFonts w:ascii="Times New Roman" w:hAnsi="Times New Roman" w:cs="Times New Roman"/>
              <w:sz w:val="24"/>
              <w:szCs w:val="24"/>
              <w:lang w:val="en-US"/>
            </w:rPr>
          </w:pPr>
        </w:p>
        <w:p w:rsidR="00DD1A12" w:rsidRPr="00DD1A12" w:rsidRDefault="001A0C44">
          <w:pPr>
            <w:pStyle w:val="TOC1"/>
            <w:tabs>
              <w:tab w:val="right" w:leader="dot" w:pos="9016"/>
            </w:tabs>
            <w:rPr>
              <w:rFonts w:ascii="Times New Roman" w:eastAsiaTheme="minorEastAsia" w:hAnsi="Times New Roman" w:cs="Times New Roman"/>
              <w:noProof/>
              <w:sz w:val="24"/>
              <w:szCs w:val="24"/>
              <w:lang w:eastAsia="en-MY"/>
            </w:rPr>
          </w:pPr>
          <w:r w:rsidRPr="006A7598">
            <w:rPr>
              <w:rFonts w:ascii="Times New Roman" w:hAnsi="Times New Roman" w:cs="Times New Roman"/>
              <w:sz w:val="24"/>
              <w:szCs w:val="24"/>
            </w:rPr>
            <w:fldChar w:fldCharType="begin"/>
          </w:r>
          <w:r w:rsidRPr="006A7598">
            <w:rPr>
              <w:rFonts w:ascii="Times New Roman" w:hAnsi="Times New Roman" w:cs="Times New Roman"/>
              <w:sz w:val="24"/>
              <w:szCs w:val="24"/>
            </w:rPr>
            <w:instrText xml:space="preserve"> TOC \o "1-3" \h \z \u </w:instrText>
          </w:r>
          <w:r w:rsidRPr="006A7598">
            <w:rPr>
              <w:rFonts w:ascii="Times New Roman" w:hAnsi="Times New Roman" w:cs="Times New Roman"/>
              <w:sz w:val="24"/>
              <w:szCs w:val="24"/>
            </w:rPr>
            <w:fldChar w:fldCharType="separate"/>
          </w:r>
          <w:hyperlink w:anchor="_Toc119880492" w:history="1">
            <w:r w:rsidR="00DD1A12" w:rsidRPr="00DD1A12">
              <w:rPr>
                <w:rStyle w:val="Hyperlink"/>
                <w:rFonts w:ascii="Times New Roman" w:hAnsi="Times New Roman" w:cs="Times New Roman"/>
                <w:b/>
                <w:noProof/>
                <w:sz w:val="24"/>
                <w:szCs w:val="24"/>
              </w:rPr>
              <w:t>Acknowledgements</w:t>
            </w:r>
            <w:r w:rsidR="00DD1A12" w:rsidRPr="00DD1A12">
              <w:rPr>
                <w:rFonts w:ascii="Times New Roman" w:hAnsi="Times New Roman" w:cs="Times New Roman"/>
                <w:noProof/>
                <w:webHidden/>
                <w:sz w:val="24"/>
                <w:szCs w:val="24"/>
              </w:rPr>
              <w:tab/>
            </w:r>
            <w:r w:rsidR="00DD1A12" w:rsidRPr="00DD1A12">
              <w:rPr>
                <w:rFonts w:ascii="Times New Roman" w:hAnsi="Times New Roman" w:cs="Times New Roman"/>
                <w:noProof/>
                <w:webHidden/>
                <w:sz w:val="24"/>
                <w:szCs w:val="24"/>
              </w:rPr>
              <w:fldChar w:fldCharType="begin"/>
            </w:r>
            <w:r w:rsidR="00DD1A12" w:rsidRPr="00DD1A12">
              <w:rPr>
                <w:rFonts w:ascii="Times New Roman" w:hAnsi="Times New Roman" w:cs="Times New Roman"/>
                <w:noProof/>
                <w:webHidden/>
                <w:sz w:val="24"/>
                <w:szCs w:val="24"/>
              </w:rPr>
              <w:instrText xml:space="preserve"> PAGEREF _Toc119880492 \h </w:instrText>
            </w:r>
            <w:r w:rsidR="00DD1A12" w:rsidRPr="00DD1A12">
              <w:rPr>
                <w:rFonts w:ascii="Times New Roman" w:hAnsi="Times New Roman" w:cs="Times New Roman"/>
                <w:noProof/>
                <w:webHidden/>
                <w:sz w:val="24"/>
                <w:szCs w:val="24"/>
              </w:rPr>
            </w:r>
            <w:r w:rsidR="00DD1A12" w:rsidRPr="00DD1A12">
              <w:rPr>
                <w:rFonts w:ascii="Times New Roman" w:hAnsi="Times New Roman" w:cs="Times New Roman"/>
                <w:noProof/>
                <w:webHidden/>
                <w:sz w:val="24"/>
                <w:szCs w:val="24"/>
              </w:rPr>
              <w:fldChar w:fldCharType="separate"/>
            </w:r>
            <w:r w:rsidR="0098078E">
              <w:rPr>
                <w:rFonts w:ascii="Times New Roman" w:hAnsi="Times New Roman" w:cs="Times New Roman"/>
                <w:noProof/>
                <w:webHidden/>
                <w:sz w:val="24"/>
                <w:szCs w:val="24"/>
              </w:rPr>
              <w:t>1</w:t>
            </w:r>
            <w:r w:rsidR="00DD1A12" w:rsidRPr="00DD1A12">
              <w:rPr>
                <w:rFonts w:ascii="Times New Roman" w:hAnsi="Times New Roman" w:cs="Times New Roman"/>
                <w:noProof/>
                <w:webHidden/>
                <w:sz w:val="24"/>
                <w:szCs w:val="24"/>
              </w:rPr>
              <w:fldChar w:fldCharType="end"/>
            </w:r>
          </w:hyperlink>
        </w:p>
        <w:p w:rsidR="00DD1A12" w:rsidRPr="00DD1A12" w:rsidRDefault="00B0229A">
          <w:pPr>
            <w:pStyle w:val="TOC1"/>
            <w:tabs>
              <w:tab w:val="right" w:leader="dot" w:pos="9016"/>
            </w:tabs>
            <w:rPr>
              <w:rFonts w:ascii="Times New Roman" w:eastAsiaTheme="minorEastAsia" w:hAnsi="Times New Roman" w:cs="Times New Roman"/>
              <w:noProof/>
              <w:sz w:val="24"/>
              <w:szCs w:val="24"/>
              <w:lang w:eastAsia="en-MY"/>
            </w:rPr>
          </w:pPr>
          <w:hyperlink w:anchor="_Toc119880493" w:history="1">
            <w:r w:rsidR="00DD1A12" w:rsidRPr="00DD1A12">
              <w:rPr>
                <w:rStyle w:val="Hyperlink"/>
                <w:rFonts w:ascii="Times New Roman" w:hAnsi="Times New Roman" w:cs="Times New Roman"/>
                <w:b/>
                <w:noProof/>
                <w:sz w:val="24"/>
                <w:szCs w:val="24"/>
              </w:rPr>
              <w:t>Executive Summary</w:t>
            </w:r>
            <w:r w:rsidR="00DD1A12" w:rsidRPr="00DD1A12">
              <w:rPr>
                <w:rFonts w:ascii="Times New Roman" w:hAnsi="Times New Roman" w:cs="Times New Roman"/>
                <w:noProof/>
                <w:webHidden/>
                <w:sz w:val="24"/>
                <w:szCs w:val="24"/>
              </w:rPr>
              <w:tab/>
            </w:r>
            <w:r w:rsidR="00DD1A12" w:rsidRPr="00DD1A12">
              <w:rPr>
                <w:rFonts w:ascii="Times New Roman" w:hAnsi="Times New Roman" w:cs="Times New Roman"/>
                <w:noProof/>
                <w:webHidden/>
                <w:sz w:val="24"/>
                <w:szCs w:val="24"/>
              </w:rPr>
              <w:fldChar w:fldCharType="begin"/>
            </w:r>
            <w:r w:rsidR="00DD1A12" w:rsidRPr="00DD1A12">
              <w:rPr>
                <w:rFonts w:ascii="Times New Roman" w:hAnsi="Times New Roman" w:cs="Times New Roman"/>
                <w:noProof/>
                <w:webHidden/>
                <w:sz w:val="24"/>
                <w:szCs w:val="24"/>
              </w:rPr>
              <w:instrText xml:space="preserve"> PAGEREF _Toc119880493 \h </w:instrText>
            </w:r>
            <w:r w:rsidR="00DD1A12" w:rsidRPr="00DD1A12">
              <w:rPr>
                <w:rFonts w:ascii="Times New Roman" w:hAnsi="Times New Roman" w:cs="Times New Roman"/>
                <w:noProof/>
                <w:webHidden/>
                <w:sz w:val="24"/>
                <w:szCs w:val="24"/>
              </w:rPr>
            </w:r>
            <w:r w:rsidR="00DD1A12" w:rsidRPr="00DD1A12">
              <w:rPr>
                <w:rFonts w:ascii="Times New Roman" w:hAnsi="Times New Roman" w:cs="Times New Roman"/>
                <w:noProof/>
                <w:webHidden/>
                <w:sz w:val="24"/>
                <w:szCs w:val="24"/>
              </w:rPr>
              <w:fldChar w:fldCharType="separate"/>
            </w:r>
            <w:r w:rsidR="0098078E">
              <w:rPr>
                <w:rFonts w:ascii="Times New Roman" w:hAnsi="Times New Roman" w:cs="Times New Roman"/>
                <w:noProof/>
                <w:webHidden/>
                <w:sz w:val="24"/>
                <w:szCs w:val="24"/>
              </w:rPr>
              <w:t>2</w:t>
            </w:r>
            <w:r w:rsidR="00DD1A12" w:rsidRPr="00DD1A12">
              <w:rPr>
                <w:rFonts w:ascii="Times New Roman" w:hAnsi="Times New Roman" w:cs="Times New Roman"/>
                <w:noProof/>
                <w:webHidden/>
                <w:sz w:val="24"/>
                <w:szCs w:val="24"/>
              </w:rPr>
              <w:fldChar w:fldCharType="end"/>
            </w:r>
          </w:hyperlink>
        </w:p>
        <w:p w:rsidR="00DD1A12" w:rsidRPr="00DD1A12" w:rsidRDefault="00B0229A">
          <w:pPr>
            <w:pStyle w:val="TOC1"/>
            <w:tabs>
              <w:tab w:val="left" w:pos="440"/>
              <w:tab w:val="right" w:leader="dot" w:pos="9016"/>
            </w:tabs>
            <w:rPr>
              <w:rFonts w:ascii="Times New Roman" w:eastAsiaTheme="minorEastAsia" w:hAnsi="Times New Roman" w:cs="Times New Roman"/>
              <w:noProof/>
              <w:sz w:val="24"/>
              <w:szCs w:val="24"/>
              <w:lang w:eastAsia="en-MY"/>
            </w:rPr>
          </w:pPr>
          <w:hyperlink w:anchor="_Toc119880494" w:history="1">
            <w:r w:rsidR="00DD1A12" w:rsidRPr="00DD1A12">
              <w:rPr>
                <w:rStyle w:val="Hyperlink"/>
                <w:rFonts w:ascii="Times New Roman" w:hAnsi="Times New Roman" w:cs="Times New Roman"/>
                <w:b/>
                <w:noProof/>
                <w:sz w:val="24"/>
                <w:szCs w:val="24"/>
              </w:rPr>
              <w:t>1.</w:t>
            </w:r>
            <w:r w:rsidR="00DD1A12" w:rsidRPr="00DD1A12">
              <w:rPr>
                <w:rFonts w:ascii="Times New Roman" w:eastAsiaTheme="minorEastAsia" w:hAnsi="Times New Roman" w:cs="Times New Roman"/>
                <w:noProof/>
                <w:sz w:val="24"/>
                <w:szCs w:val="24"/>
                <w:lang w:eastAsia="en-MY"/>
              </w:rPr>
              <w:tab/>
            </w:r>
            <w:r w:rsidR="00DD1A12" w:rsidRPr="00DD1A12">
              <w:rPr>
                <w:rStyle w:val="Hyperlink"/>
                <w:rFonts w:ascii="Times New Roman" w:hAnsi="Times New Roman" w:cs="Times New Roman"/>
                <w:b/>
                <w:noProof/>
                <w:sz w:val="24"/>
                <w:szCs w:val="24"/>
              </w:rPr>
              <w:t>Introduction</w:t>
            </w:r>
            <w:r w:rsidR="00DD1A12" w:rsidRPr="00DD1A12">
              <w:rPr>
                <w:rFonts w:ascii="Times New Roman" w:hAnsi="Times New Roman" w:cs="Times New Roman"/>
                <w:noProof/>
                <w:webHidden/>
                <w:sz w:val="24"/>
                <w:szCs w:val="24"/>
              </w:rPr>
              <w:tab/>
            </w:r>
            <w:r w:rsidR="00DD1A12" w:rsidRPr="00DD1A12">
              <w:rPr>
                <w:rFonts w:ascii="Times New Roman" w:hAnsi="Times New Roman" w:cs="Times New Roman"/>
                <w:noProof/>
                <w:webHidden/>
                <w:sz w:val="24"/>
                <w:szCs w:val="24"/>
              </w:rPr>
              <w:fldChar w:fldCharType="begin"/>
            </w:r>
            <w:r w:rsidR="00DD1A12" w:rsidRPr="00DD1A12">
              <w:rPr>
                <w:rFonts w:ascii="Times New Roman" w:hAnsi="Times New Roman" w:cs="Times New Roman"/>
                <w:noProof/>
                <w:webHidden/>
                <w:sz w:val="24"/>
                <w:szCs w:val="24"/>
              </w:rPr>
              <w:instrText xml:space="preserve"> PAGEREF _Toc119880494 \h </w:instrText>
            </w:r>
            <w:r w:rsidR="00DD1A12" w:rsidRPr="00DD1A12">
              <w:rPr>
                <w:rFonts w:ascii="Times New Roman" w:hAnsi="Times New Roman" w:cs="Times New Roman"/>
                <w:noProof/>
                <w:webHidden/>
                <w:sz w:val="24"/>
                <w:szCs w:val="24"/>
              </w:rPr>
            </w:r>
            <w:r w:rsidR="00DD1A12" w:rsidRPr="00DD1A12">
              <w:rPr>
                <w:rFonts w:ascii="Times New Roman" w:hAnsi="Times New Roman" w:cs="Times New Roman"/>
                <w:noProof/>
                <w:webHidden/>
                <w:sz w:val="24"/>
                <w:szCs w:val="24"/>
              </w:rPr>
              <w:fldChar w:fldCharType="separate"/>
            </w:r>
            <w:r w:rsidR="0098078E">
              <w:rPr>
                <w:rFonts w:ascii="Times New Roman" w:hAnsi="Times New Roman" w:cs="Times New Roman"/>
                <w:noProof/>
                <w:webHidden/>
                <w:sz w:val="24"/>
                <w:szCs w:val="24"/>
              </w:rPr>
              <w:t>3</w:t>
            </w:r>
            <w:r w:rsidR="00DD1A12" w:rsidRPr="00DD1A12">
              <w:rPr>
                <w:rFonts w:ascii="Times New Roman" w:hAnsi="Times New Roman" w:cs="Times New Roman"/>
                <w:noProof/>
                <w:webHidden/>
                <w:sz w:val="24"/>
                <w:szCs w:val="24"/>
              </w:rPr>
              <w:fldChar w:fldCharType="end"/>
            </w:r>
          </w:hyperlink>
        </w:p>
        <w:p w:rsidR="00DD1A12" w:rsidRPr="00DD1A12" w:rsidRDefault="00B0229A">
          <w:pPr>
            <w:pStyle w:val="TOC1"/>
            <w:tabs>
              <w:tab w:val="left" w:pos="440"/>
              <w:tab w:val="right" w:leader="dot" w:pos="9016"/>
            </w:tabs>
            <w:rPr>
              <w:rFonts w:ascii="Times New Roman" w:eastAsiaTheme="minorEastAsia" w:hAnsi="Times New Roman" w:cs="Times New Roman"/>
              <w:noProof/>
              <w:sz w:val="24"/>
              <w:szCs w:val="24"/>
              <w:lang w:eastAsia="en-MY"/>
            </w:rPr>
          </w:pPr>
          <w:hyperlink w:anchor="_Toc119880495" w:history="1">
            <w:r w:rsidR="00DD1A12" w:rsidRPr="00DD1A12">
              <w:rPr>
                <w:rStyle w:val="Hyperlink"/>
                <w:rFonts w:ascii="Times New Roman" w:hAnsi="Times New Roman" w:cs="Times New Roman"/>
                <w:b/>
                <w:noProof/>
                <w:sz w:val="24"/>
                <w:szCs w:val="24"/>
              </w:rPr>
              <w:t>2.</w:t>
            </w:r>
            <w:r w:rsidR="00DD1A12" w:rsidRPr="00DD1A12">
              <w:rPr>
                <w:rFonts w:ascii="Times New Roman" w:eastAsiaTheme="minorEastAsia" w:hAnsi="Times New Roman" w:cs="Times New Roman"/>
                <w:noProof/>
                <w:sz w:val="24"/>
                <w:szCs w:val="24"/>
                <w:lang w:eastAsia="en-MY"/>
              </w:rPr>
              <w:tab/>
            </w:r>
            <w:r w:rsidR="00DD1A12" w:rsidRPr="00DD1A12">
              <w:rPr>
                <w:rStyle w:val="Hyperlink"/>
                <w:rFonts w:ascii="Times New Roman" w:hAnsi="Times New Roman" w:cs="Times New Roman"/>
                <w:b/>
                <w:noProof/>
                <w:sz w:val="24"/>
                <w:szCs w:val="24"/>
              </w:rPr>
              <w:t>Rationale</w:t>
            </w:r>
            <w:r w:rsidR="00DD1A12" w:rsidRPr="00DD1A12">
              <w:rPr>
                <w:rFonts w:ascii="Times New Roman" w:hAnsi="Times New Roman" w:cs="Times New Roman"/>
                <w:noProof/>
                <w:webHidden/>
                <w:sz w:val="24"/>
                <w:szCs w:val="24"/>
              </w:rPr>
              <w:tab/>
            </w:r>
            <w:r w:rsidR="00DD1A12" w:rsidRPr="00DD1A12">
              <w:rPr>
                <w:rFonts w:ascii="Times New Roman" w:hAnsi="Times New Roman" w:cs="Times New Roman"/>
                <w:noProof/>
                <w:webHidden/>
                <w:sz w:val="24"/>
                <w:szCs w:val="24"/>
              </w:rPr>
              <w:fldChar w:fldCharType="begin"/>
            </w:r>
            <w:r w:rsidR="00DD1A12" w:rsidRPr="00DD1A12">
              <w:rPr>
                <w:rFonts w:ascii="Times New Roman" w:hAnsi="Times New Roman" w:cs="Times New Roman"/>
                <w:noProof/>
                <w:webHidden/>
                <w:sz w:val="24"/>
                <w:szCs w:val="24"/>
              </w:rPr>
              <w:instrText xml:space="preserve"> PAGEREF _Toc119880495 \h </w:instrText>
            </w:r>
            <w:r w:rsidR="00DD1A12" w:rsidRPr="00DD1A12">
              <w:rPr>
                <w:rFonts w:ascii="Times New Roman" w:hAnsi="Times New Roman" w:cs="Times New Roman"/>
                <w:noProof/>
                <w:webHidden/>
                <w:sz w:val="24"/>
                <w:szCs w:val="24"/>
              </w:rPr>
            </w:r>
            <w:r w:rsidR="00DD1A12" w:rsidRPr="00DD1A12">
              <w:rPr>
                <w:rFonts w:ascii="Times New Roman" w:hAnsi="Times New Roman" w:cs="Times New Roman"/>
                <w:noProof/>
                <w:webHidden/>
                <w:sz w:val="24"/>
                <w:szCs w:val="24"/>
              </w:rPr>
              <w:fldChar w:fldCharType="separate"/>
            </w:r>
            <w:r w:rsidR="0098078E">
              <w:rPr>
                <w:rFonts w:ascii="Times New Roman" w:hAnsi="Times New Roman" w:cs="Times New Roman"/>
                <w:noProof/>
                <w:webHidden/>
                <w:sz w:val="24"/>
                <w:szCs w:val="24"/>
              </w:rPr>
              <w:t>3</w:t>
            </w:r>
            <w:r w:rsidR="00DD1A12" w:rsidRPr="00DD1A12">
              <w:rPr>
                <w:rFonts w:ascii="Times New Roman" w:hAnsi="Times New Roman" w:cs="Times New Roman"/>
                <w:noProof/>
                <w:webHidden/>
                <w:sz w:val="24"/>
                <w:szCs w:val="24"/>
              </w:rPr>
              <w:fldChar w:fldCharType="end"/>
            </w:r>
          </w:hyperlink>
        </w:p>
        <w:p w:rsidR="00DD1A12" w:rsidRPr="00DD1A12" w:rsidRDefault="00B0229A">
          <w:pPr>
            <w:pStyle w:val="TOC1"/>
            <w:tabs>
              <w:tab w:val="left" w:pos="440"/>
              <w:tab w:val="right" w:leader="dot" w:pos="9016"/>
            </w:tabs>
            <w:rPr>
              <w:rFonts w:ascii="Times New Roman" w:eastAsiaTheme="minorEastAsia" w:hAnsi="Times New Roman" w:cs="Times New Roman"/>
              <w:noProof/>
              <w:sz w:val="24"/>
              <w:szCs w:val="24"/>
              <w:lang w:eastAsia="en-MY"/>
            </w:rPr>
          </w:pPr>
          <w:hyperlink w:anchor="_Toc119880496" w:history="1">
            <w:r w:rsidR="00DD1A12" w:rsidRPr="00DD1A12">
              <w:rPr>
                <w:rStyle w:val="Hyperlink"/>
                <w:rFonts w:ascii="Times New Roman" w:hAnsi="Times New Roman" w:cs="Times New Roman"/>
                <w:b/>
                <w:noProof/>
                <w:sz w:val="24"/>
                <w:szCs w:val="24"/>
              </w:rPr>
              <w:t>3.</w:t>
            </w:r>
            <w:r w:rsidR="00DD1A12" w:rsidRPr="00DD1A12">
              <w:rPr>
                <w:rFonts w:ascii="Times New Roman" w:eastAsiaTheme="minorEastAsia" w:hAnsi="Times New Roman" w:cs="Times New Roman"/>
                <w:noProof/>
                <w:sz w:val="24"/>
                <w:szCs w:val="24"/>
                <w:lang w:eastAsia="en-MY"/>
              </w:rPr>
              <w:tab/>
            </w:r>
            <w:r w:rsidR="00DD1A12" w:rsidRPr="00DD1A12">
              <w:rPr>
                <w:rStyle w:val="Hyperlink"/>
                <w:rFonts w:ascii="Times New Roman" w:hAnsi="Times New Roman" w:cs="Times New Roman"/>
                <w:b/>
                <w:noProof/>
                <w:sz w:val="24"/>
                <w:szCs w:val="24"/>
              </w:rPr>
              <w:t>Goal and Objectives</w:t>
            </w:r>
            <w:r w:rsidR="00DD1A12" w:rsidRPr="00DD1A12">
              <w:rPr>
                <w:rFonts w:ascii="Times New Roman" w:hAnsi="Times New Roman" w:cs="Times New Roman"/>
                <w:noProof/>
                <w:webHidden/>
                <w:sz w:val="24"/>
                <w:szCs w:val="24"/>
              </w:rPr>
              <w:tab/>
            </w:r>
            <w:r w:rsidR="00DD1A12" w:rsidRPr="00DD1A12">
              <w:rPr>
                <w:rFonts w:ascii="Times New Roman" w:hAnsi="Times New Roman" w:cs="Times New Roman"/>
                <w:noProof/>
                <w:webHidden/>
                <w:sz w:val="24"/>
                <w:szCs w:val="24"/>
              </w:rPr>
              <w:fldChar w:fldCharType="begin"/>
            </w:r>
            <w:r w:rsidR="00DD1A12" w:rsidRPr="00DD1A12">
              <w:rPr>
                <w:rFonts w:ascii="Times New Roman" w:hAnsi="Times New Roman" w:cs="Times New Roman"/>
                <w:noProof/>
                <w:webHidden/>
                <w:sz w:val="24"/>
                <w:szCs w:val="24"/>
              </w:rPr>
              <w:instrText xml:space="preserve"> PAGEREF _Toc119880496 \h </w:instrText>
            </w:r>
            <w:r w:rsidR="00DD1A12" w:rsidRPr="00DD1A12">
              <w:rPr>
                <w:rFonts w:ascii="Times New Roman" w:hAnsi="Times New Roman" w:cs="Times New Roman"/>
                <w:noProof/>
                <w:webHidden/>
                <w:sz w:val="24"/>
                <w:szCs w:val="24"/>
              </w:rPr>
            </w:r>
            <w:r w:rsidR="00DD1A12" w:rsidRPr="00DD1A12">
              <w:rPr>
                <w:rFonts w:ascii="Times New Roman" w:hAnsi="Times New Roman" w:cs="Times New Roman"/>
                <w:noProof/>
                <w:webHidden/>
                <w:sz w:val="24"/>
                <w:szCs w:val="24"/>
              </w:rPr>
              <w:fldChar w:fldCharType="separate"/>
            </w:r>
            <w:r w:rsidR="0098078E">
              <w:rPr>
                <w:rFonts w:ascii="Times New Roman" w:hAnsi="Times New Roman" w:cs="Times New Roman"/>
                <w:noProof/>
                <w:webHidden/>
                <w:sz w:val="24"/>
                <w:szCs w:val="24"/>
              </w:rPr>
              <w:t>3</w:t>
            </w:r>
            <w:r w:rsidR="00DD1A12" w:rsidRPr="00DD1A12">
              <w:rPr>
                <w:rFonts w:ascii="Times New Roman" w:hAnsi="Times New Roman" w:cs="Times New Roman"/>
                <w:noProof/>
                <w:webHidden/>
                <w:sz w:val="24"/>
                <w:szCs w:val="24"/>
              </w:rPr>
              <w:fldChar w:fldCharType="end"/>
            </w:r>
          </w:hyperlink>
        </w:p>
        <w:p w:rsidR="00DD1A12" w:rsidRPr="00DD1A12" w:rsidRDefault="00B0229A">
          <w:pPr>
            <w:pStyle w:val="TOC1"/>
            <w:tabs>
              <w:tab w:val="left" w:pos="440"/>
              <w:tab w:val="right" w:leader="dot" w:pos="9016"/>
            </w:tabs>
            <w:rPr>
              <w:rFonts w:ascii="Times New Roman" w:eastAsiaTheme="minorEastAsia" w:hAnsi="Times New Roman" w:cs="Times New Roman"/>
              <w:noProof/>
              <w:sz w:val="24"/>
              <w:szCs w:val="24"/>
              <w:lang w:eastAsia="en-MY"/>
            </w:rPr>
          </w:pPr>
          <w:hyperlink w:anchor="_Toc119880497" w:history="1">
            <w:r w:rsidR="00DD1A12" w:rsidRPr="00DD1A12">
              <w:rPr>
                <w:rStyle w:val="Hyperlink"/>
                <w:rFonts w:ascii="Times New Roman" w:hAnsi="Times New Roman" w:cs="Times New Roman"/>
                <w:b/>
                <w:noProof/>
                <w:sz w:val="24"/>
                <w:szCs w:val="24"/>
              </w:rPr>
              <w:t>4.</w:t>
            </w:r>
            <w:r w:rsidR="00DD1A12" w:rsidRPr="00DD1A12">
              <w:rPr>
                <w:rFonts w:ascii="Times New Roman" w:eastAsiaTheme="minorEastAsia" w:hAnsi="Times New Roman" w:cs="Times New Roman"/>
                <w:noProof/>
                <w:sz w:val="24"/>
                <w:szCs w:val="24"/>
                <w:lang w:eastAsia="en-MY"/>
              </w:rPr>
              <w:tab/>
            </w:r>
            <w:r w:rsidR="00DD1A12" w:rsidRPr="00DD1A12">
              <w:rPr>
                <w:rStyle w:val="Hyperlink"/>
                <w:rFonts w:ascii="Times New Roman" w:hAnsi="Times New Roman" w:cs="Times New Roman"/>
                <w:b/>
                <w:noProof/>
                <w:sz w:val="24"/>
                <w:szCs w:val="24"/>
              </w:rPr>
              <w:t>Methodology</w:t>
            </w:r>
            <w:r w:rsidR="00DD1A12" w:rsidRPr="00DD1A12">
              <w:rPr>
                <w:rFonts w:ascii="Times New Roman" w:hAnsi="Times New Roman" w:cs="Times New Roman"/>
                <w:noProof/>
                <w:webHidden/>
                <w:sz w:val="24"/>
                <w:szCs w:val="24"/>
              </w:rPr>
              <w:tab/>
            </w:r>
            <w:r w:rsidR="00DD1A12" w:rsidRPr="00DD1A12">
              <w:rPr>
                <w:rFonts w:ascii="Times New Roman" w:hAnsi="Times New Roman" w:cs="Times New Roman"/>
                <w:noProof/>
                <w:webHidden/>
                <w:sz w:val="24"/>
                <w:szCs w:val="24"/>
              </w:rPr>
              <w:fldChar w:fldCharType="begin"/>
            </w:r>
            <w:r w:rsidR="00DD1A12" w:rsidRPr="00DD1A12">
              <w:rPr>
                <w:rFonts w:ascii="Times New Roman" w:hAnsi="Times New Roman" w:cs="Times New Roman"/>
                <w:noProof/>
                <w:webHidden/>
                <w:sz w:val="24"/>
                <w:szCs w:val="24"/>
              </w:rPr>
              <w:instrText xml:space="preserve"> PAGEREF _Toc119880497 \h </w:instrText>
            </w:r>
            <w:r w:rsidR="00DD1A12" w:rsidRPr="00DD1A12">
              <w:rPr>
                <w:rFonts w:ascii="Times New Roman" w:hAnsi="Times New Roman" w:cs="Times New Roman"/>
                <w:noProof/>
                <w:webHidden/>
                <w:sz w:val="24"/>
                <w:szCs w:val="24"/>
              </w:rPr>
            </w:r>
            <w:r w:rsidR="00DD1A12" w:rsidRPr="00DD1A12">
              <w:rPr>
                <w:rFonts w:ascii="Times New Roman" w:hAnsi="Times New Roman" w:cs="Times New Roman"/>
                <w:noProof/>
                <w:webHidden/>
                <w:sz w:val="24"/>
                <w:szCs w:val="24"/>
              </w:rPr>
              <w:fldChar w:fldCharType="separate"/>
            </w:r>
            <w:r w:rsidR="0098078E">
              <w:rPr>
                <w:rFonts w:ascii="Times New Roman" w:hAnsi="Times New Roman" w:cs="Times New Roman"/>
                <w:noProof/>
                <w:webHidden/>
                <w:sz w:val="24"/>
                <w:szCs w:val="24"/>
              </w:rPr>
              <w:t>4</w:t>
            </w:r>
            <w:r w:rsidR="00DD1A12" w:rsidRPr="00DD1A12">
              <w:rPr>
                <w:rFonts w:ascii="Times New Roman" w:hAnsi="Times New Roman" w:cs="Times New Roman"/>
                <w:noProof/>
                <w:webHidden/>
                <w:sz w:val="24"/>
                <w:szCs w:val="24"/>
              </w:rPr>
              <w:fldChar w:fldCharType="end"/>
            </w:r>
          </w:hyperlink>
        </w:p>
        <w:p w:rsidR="00DD1A12" w:rsidRPr="00DD1A12" w:rsidRDefault="00B0229A">
          <w:pPr>
            <w:pStyle w:val="TOC1"/>
            <w:tabs>
              <w:tab w:val="left" w:pos="440"/>
              <w:tab w:val="right" w:leader="dot" w:pos="9016"/>
            </w:tabs>
            <w:rPr>
              <w:rFonts w:ascii="Times New Roman" w:eastAsiaTheme="minorEastAsia" w:hAnsi="Times New Roman" w:cs="Times New Roman"/>
              <w:noProof/>
              <w:sz w:val="24"/>
              <w:szCs w:val="24"/>
              <w:lang w:eastAsia="en-MY"/>
            </w:rPr>
          </w:pPr>
          <w:hyperlink w:anchor="_Toc119880498" w:history="1">
            <w:r w:rsidR="00DD1A12" w:rsidRPr="00DD1A12">
              <w:rPr>
                <w:rStyle w:val="Hyperlink"/>
                <w:rFonts w:ascii="Times New Roman" w:hAnsi="Times New Roman" w:cs="Times New Roman"/>
                <w:b/>
                <w:noProof/>
                <w:sz w:val="24"/>
                <w:szCs w:val="24"/>
              </w:rPr>
              <w:t>5.</w:t>
            </w:r>
            <w:r w:rsidR="00DD1A12" w:rsidRPr="00DD1A12">
              <w:rPr>
                <w:rFonts w:ascii="Times New Roman" w:eastAsiaTheme="minorEastAsia" w:hAnsi="Times New Roman" w:cs="Times New Roman"/>
                <w:noProof/>
                <w:sz w:val="24"/>
                <w:szCs w:val="24"/>
                <w:lang w:eastAsia="en-MY"/>
              </w:rPr>
              <w:tab/>
            </w:r>
            <w:r w:rsidR="00DD1A12" w:rsidRPr="00DD1A12">
              <w:rPr>
                <w:rStyle w:val="Hyperlink"/>
                <w:rFonts w:ascii="Times New Roman" w:hAnsi="Times New Roman" w:cs="Times New Roman"/>
                <w:b/>
                <w:noProof/>
                <w:sz w:val="24"/>
                <w:szCs w:val="24"/>
              </w:rPr>
              <w:t>Background</w:t>
            </w:r>
            <w:r w:rsidR="00DD1A12" w:rsidRPr="00DD1A12">
              <w:rPr>
                <w:rFonts w:ascii="Times New Roman" w:hAnsi="Times New Roman" w:cs="Times New Roman"/>
                <w:noProof/>
                <w:webHidden/>
                <w:sz w:val="24"/>
                <w:szCs w:val="24"/>
              </w:rPr>
              <w:tab/>
            </w:r>
            <w:r w:rsidR="00DD1A12" w:rsidRPr="00DD1A12">
              <w:rPr>
                <w:rFonts w:ascii="Times New Roman" w:hAnsi="Times New Roman" w:cs="Times New Roman"/>
                <w:noProof/>
                <w:webHidden/>
                <w:sz w:val="24"/>
                <w:szCs w:val="24"/>
              </w:rPr>
              <w:fldChar w:fldCharType="begin"/>
            </w:r>
            <w:r w:rsidR="00DD1A12" w:rsidRPr="00DD1A12">
              <w:rPr>
                <w:rFonts w:ascii="Times New Roman" w:hAnsi="Times New Roman" w:cs="Times New Roman"/>
                <w:noProof/>
                <w:webHidden/>
                <w:sz w:val="24"/>
                <w:szCs w:val="24"/>
              </w:rPr>
              <w:instrText xml:space="preserve"> PAGEREF _Toc119880498 \h </w:instrText>
            </w:r>
            <w:r w:rsidR="00DD1A12" w:rsidRPr="00DD1A12">
              <w:rPr>
                <w:rFonts w:ascii="Times New Roman" w:hAnsi="Times New Roman" w:cs="Times New Roman"/>
                <w:noProof/>
                <w:webHidden/>
                <w:sz w:val="24"/>
                <w:szCs w:val="24"/>
              </w:rPr>
            </w:r>
            <w:r w:rsidR="00DD1A12" w:rsidRPr="00DD1A12">
              <w:rPr>
                <w:rFonts w:ascii="Times New Roman" w:hAnsi="Times New Roman" w:cs="Times New Roman"/>
                <w:noProof/>
                <w:webHidden/>
                <w:sz w:val="24"/>
                <w:szCs w:val="24"/>
              </w:rPr>
              <w:fldChar w:fldCharType="separate"/>
            </w:r>
            <w:r w:rsidR="0098078E">
              <w:rPr>
                <w:rFonts w:ascii="Times New Roman" w:hAnsi="Times New Roman" w:cs="Times New Roman"/>
                <w:noProof/>
                <w:webHidden/>
                <w:sz w:val="24"/>
                <w:szCs w:val="24"/>
              </w:rPr>
              <w:t>6</w:t>
            </w:r>
            <w:r w:rsidR="00DD1A12" w:rsidRPr="00DD1A12">
              <w:rPr>
                <w:rFonts w:ascii="Times New Roman" w:hAnsi="Times New Roman" w:cs="Times New Roman"/>
                <w:noProof/>
                <w:webHidden/>
                <w:sz w:val="24"/>
                <w:szCs w:val="24"/>
              </w:rPr>
              <w:fldChar w:fldCharType="end"/>
            </w:r>
          </w:hyperlink>
        </w:p>
        <w:p w:rsidR="00DD1A12" w:rsidRPr="00DD1A12" w:rsidRDefault="00B0229A">
          <w:pPr>
            <w:pStyle w:val="TOC1"/>
            <w:tabs>
              <w:tab w:val="left" w:pos="440"/>
              <w:tab w:val="right" w:leader="dot" w:pos="9016"/>
            </w:tabs>
            <w:rPr>
              <w:rFonts w:ascii="Times New Roman" w:eastAsiaTheme="minorEastAsia" w:hAnsi="Times New Roman" w:cs="Times New Roman"/>
              <w:noProof/>
              <w:sz w:val="24"/>
              <w:szCs w:val="24"/>
              <w:lang w:eastAsia="en-MY"/>
            </w:rPr>
          </w:pPr>
          <w:hyperlink w:anchor="_Toc119880499" w:history="1">
            <w:r w:rsidR="00DD1A12" w:rsidRPr="00DD1A12">
              <w:rPr>
                <w:rStyle w:val="Hyperlink"/>
                <w:rFonts w:ascii="Times New Roman" w:hAnsi="Times New Roman" w:cs="Times New Roman"/>
                <w:b/>
                <w:noProof/>
                <w:sz w:val="24"/>
                <w:szCs w:val="24"/>
              </w:rPr>
              <w:t>6.</w:t>
            </w:r>
            <w:r w:rsidR="00DD1A12" w:rsidRPr="00DD1A12">
              <w:rPr>
                <w:rFonts w:ascii="Times New Roman" w:eastAsiaTheme="minorEastAsia" w:hAnsi="Times New Roman" w:cs="Times New Roman"/>
                <w:noProof/>
                <w:sz w:val="24"/>
                <w:szCs w:val="24"/>
                <w:lang w:eastAsia="en-MY"/>
              </w:rPr>
              <w:tab/>
            </w:r>
            <w:r w:rsidR="00DD1A12" w:rsidRPr="00DD1A12">
              <w:rPr>
                <w:rStyle w:val="Hyperlink"/>
                <w:rFonts w:ascii="Times New Roman" w:hAnsi="Times New Roman" w:cs="Times New Roman"/>
                <w:b/>
                <w:noProof/>
                <w:sz w:val="24"/>
                <w:szCs w:val="24"/>
              </w:rPr>
              <w:t>Root Cause Analysis</w:t>
            </w:r>
            <w:r w:rsidR="00DD1A12" w:rsidRPr="00DD1A12">
              <w:rPr>
                <w:rFonts w:ascii="Times New Roman" w:hAnsi="Times New Roman" w:cs="Times New Roman"/>
                <w:noProof/>
                <w:webHidden/>
                <w:sz w:val="24"/>
                <w:szCs w:val="24"/>
              </w:rPr>
              <w:tab/>
            </w:r>
            <w:r w:rsidR="00DD1A12" w:rsidRPr="00DD1A12">
              <w:rPr>
                <w:rFonts w:ascii="Times New Roman" w:hAnsi="Times New Roman" w:cs="Times New Roman"/>
                <w:noProof/>
                <w:webHidden/>
                <w:sz w:val="24"/>
                <w:szCs w:val="24"/>
              </w:rPr>
              <w:fldChar w:fldCharType="begin"/>
            </w:r>
            <w:r w:rsidR="00DD1A12" w:rsidRPr="00DD1A12">
              <w:rPr>
                <w:rFonts w:ascii="Times New Roman" w:hAnsi="Times New Roman" w:cs="Times New Roman"/>
                <w:noProof/>
                <w:webHidden/>
                <w:sz w:val="24"/>
                <w:szCs w:val="24"/>
              </w:rPr>
              <w:instrText xml:space="preserve"> PAGEREF _Toc119880499 \h </w:instrText>
            </w:r>
            <w:r w:rsidR="00DD1A12" w:rsidRPr="00DD1A12">
              <w:rPr>
                <w:rFonts w:ascii="Times New Roman" w:hAnsi="Times New Roman" w:cs="Times New Roman"/>
                <w:noProof/>
                <w:webHidden/>
                <w:sz w:val="24"/>
                <w:szCs w:val="24"/>
              </w:rPr>
            </w:r>
            <w:r w:rsidR="00DD1A12" w:rsidRPr="00DD1A12">
              <w:rPr>
                <w:rFonts w:ascii="Times New Roman" w:hAnsi="Times New Roman" w:cs="Times New Roman"/>
                <w:noProof/>
                <w:webHidden/>
                <w:sz w:val="24"/>
                <w:szCs w:val="24"/>
              </w:rPr>
              <w:fldChar w:fldCharType="separate"/>
            </w:r>
            <w:r w:rsidR="0098078E">
              <w:rPr>
                <w:rFonts w:ascii="Times New Roman" w:hAnsi="Times New Roman" w:cs="Times New Roman"/>
                <w:noProof/>
                <w:webHidden/>
                <w:sz w:val="24"/>
                <w:szCs w:val="24"/>
              </w:rPr>
              <w:t>8</w:t>
            </w:r>
            <w:r w:rsidR="00DD1A12" w:rsidRPr="00DD1A12">
              <w:rPr>
                <w:rFonts w:ascii="Times New Roman" w:hAnsi="Times New Roman" w:cs="Times New Roman"/>
                <w:noProof/>
                <w:webHidden/>
                <w:sz w:val="24"/>
                <w:szCs w:val="24"/>
              </w:rPr>
              <w:fldChar w:fldCharType="end"/>
            </w:r>
          </w:hyperlink>
        </w:p>
        <w:p w:rsidR="00DD1A12" w:rsidRPr="00DD1A12" w:rsidRDefault="00B0229A">
          <w:pPr>
            <w:pStyle w:val="TOC1"/>
            <w:tabs>
              <w:tab w:val="left" w:pos="440"/>
              <w:tab w:val="right" w:leader="dot" w:pos="9016"/>
            </w:tabs>
            <w:rPr>
              <w:rFonts w:ascii="Times New Roman" w:eastAsiaTheme="minorEastAsia" w:hAnsi="Times New Roman" w:cs="Times New Roman"/>
              <w:noProof/>
              <w:sz w:val="24"/>
              <w:szCs w:val="24"/>
              <w:lang w:eastAsia="en-MY"/>
            </w:rPr>
          </w:pPr>
          <w:hyperlink w:anchor="_Toc119880500" w:history="1">
            <w:r w:rsidR="00DD1A12" w:rsidRPr="00DD1A12">
              <w:rPr>
                <w:rStyle w:val="Hyperlink"/>
                <w:rFonts w:ascii="Times New Roman" w:hAnsi="Times New Roman" w:cs="Times New Roman"/>
                <w:b/>
                <w:noProof/>
                <w:sz w:val="24"/>
                <w:szCs w:val="24"/>
              </w:rPr>
              <w:t>7.</w:t>
            </w:r>
            <w:r w:rsidR="00DD1A12" w:rsidRPr="00DD1A12">
              <w:rPr>
                <w:rFonts w:ascii="Times New Roman" w:eastAsiaTheme="minorEastAsia" w:hAnsi="Times New Roman" w:cs="Times New Roman"/>
                <w:noProof/>
                <w:sz w:val="24"/>
                <w:szCs w:val="24"/>
                <w:lang w:eastAsia="en-MY"/>
              </w:rPr>
              <w:tab/>
            </w:r>
            <w:r w:rsidR="00DD1A12" w:rsidRPr="00DD1A12">
              <w:rPr>
                <w:rStyle w:val="Hyperlink"/>
                <w:rFonts w:ascii="Times New Roman" w:hAnsi="Times New Roman" w:cs="Times New Roman"/>
                <w:b/>
                <w:noProof/>
                <w:sz w:val="24"/>
                <w:szCs w:val="24"/>
              </w:rPr>
              <w:t>Stakeholder Analysis</w:t>
            </w:r>
            <w:r w:rsidR="00DD1A12" w:rsidRPr="00DD1A12">
              <w:rPr>
                <w:rFonts w:ascii="Times New Roman" w:hAnsi="Times New Roman" w:cs="Times New Roman"/>
                <w:noProof/>
                <w:webHidden/>
                <w:sz w:val="24"/>
                <w:szCs w:val="24"/>
              </w:rPr>
              <w:tab/>
            </w:r>
            <w:r w:rsidR="00DD1A12" w:rsidRPr="00DD1A12">
              <w:rPr>
                <w:rFonts w:ascii="Times New Roman" w:hAnsi="Times New Roman" w:cs="Times New Roman"/>
                <w:noProof/>
                <w:webHidden/>
                <w:sz w:val="24"/>
                <w:szCs w:val="24"/>
              </w:rPr>
              <w:fldChar w:fldCharType="begin"/>
            </w:r>
            <w:r w:rsidR="00DD1A12" w:rsidRPr="00DD1A12">
              <w:rPr>
                <w:rFonts w:ascii="Times New Roman" w:hAnsi="Times New Roman" w:cs="Times New Roman"/>
                <w:noProof/>
                <w:webHidden/>
                <w:sz w:val="24"/>
                <w:szCs w:val="24"/>
              </w:rPr>
              <w:instrText xml:space="preserve"> PAGEREF _Toc119880500 \h </w:instrText>
            </w:r>
            <w:r w:rsidR="00DD1A12" w:rsidRPr="00DD1A12">
              <w:rPr>
                <w:rFonts w:ascii="Times New Roman" w:hAnsi="Times New Roman" w:cs="Times New Roman"/>
                <w:noProof/>
                <w:webHidden/>
                <w:sz w:val="24"/>
                <w:szCs w:val="24"/>
              </w:rPr>
            </w:r>
            <w:r w:rsidR="00DD1A12" w:rsidRPr="00DD1A12">
              <w:rPr>
                <w:rFonts w:ascii="Times New Roman" w:hAnsi="Times New Roman" w:cs="Times New Roman"/>
                <w:noProof/>
                <w:webHidden/>
                <w:sz w:val="24"/>
                <w:szCs w:val="24"/>
              </w:rPr>
              <w:fldChar w:fldCharType="separate"/>
            </w:r>
            <w:r w:rsidR="0098078E">
              <w:rPr>
                <w:rFonts w:ascii="Times New Roman" w:hAnsi="Times New Roman" w:cs="Times New Roman"/>
                <w:noProof/>
                <w:webHidden/>
                <w:sz w:val="24"/>
                <w:szCs w:val="24"/>
              </w:rPr>
              <w:t>9</w:t>
            </w:r>
            <w:r w:rsidR="00DD1A12" w:rsidRPr="00DD1A12">
              <w:rPr>
                <w:rFonts w:ascii="Times New Roman" w:hAnsi="Times New Roman" w:cs="Times New Roman"/>
                <w:noProof/>
                <w:webHidden/>
                <w:sz w:val="24"/>
                <w:szCs w:val="24"/>
              </w:rPr>
              <w:fldChar w:fldCharType="end"/>
            </w:r>
          </w:hyperlink>
        </w:p>
        <w:p w:rsidR="00DD1A12" w:rsidRPr="00DD1A12" w:rsidRDefault="00B0229A">
          <w:pPr>
            <w:pStyle w:val="TOC1"/>
            <w:tabs>
              <w:tab w:val="left" w:pos="440"/>
              <w:tab w:val="right" w:leader="dot" w:pos="9016"/>
            </w:tabs>
            <w:rPr>
              <w:rFonts w:ascii="Times New Roman" w:eastAsiaTheme="minorEastAsia" w:hAnsi="Times New Roman" w:cs="Times New Roman"/>
              <w:noProof/>
              <w:sz w:val="24"/>
              <w:szCs w:val="24"/>
              <w:lang w:eastAsia="en-MY"/>
            </w:rPr>
          </w:pPr>
          <w:hyperlink w:anchor="_Toc119880501" w:history="1">
            <w:r w:rsidR="00DD1A12" w:rsidRPr="00DD1A12">
              <w:rPr>
                <w:rStyle w:val="Hyperlink"/>
                <w:rFonts w:ascii="Times New Roman" w:hAnsi="Times New Roman" w:cs="Times New Roman"/>
                <w:b/>
                <w:noProof/>
                <w:sz w:val="24"/>
                <w:szCs w:val="24"/>
              </w:rPr>
              <w:t>8.</w:t>
            </w:r>
            <w:r w:rsidR="00DD1A12" w:rsidRPr="00DD1A12">
              <w:rPr>
                <w:rFonts w:ascii="Times New Roman" w:eastAsiaTheme="minorEastAsia" w:hAnsi="Times New Roman" w:cs="Times New Roman"/>
                <w:noProof/>
                <w:sz w:val="24"/>
                <w:szCs w:val="24"/>
                <w:lang w:eastAsia="en-MY"/>
              </w:rPr>
              <w:tab/>
            </w:r>
            <w:r w:rsidR="00DD1A12" w:rsidRPr="00DD1A12">
              <w:rPr>
                <w:rStyle w:val="Hyperlink"/>
                <w:rFonts w:ascii="Times New Roman" w:hAnsi="Times New Roman" w:cs="Times New Roman"/>
                <w:b/>
                <w:noProof/>
                <w:sz w:val="24"/>
                <w:szCs w:val="24"/>
              </w:rPr>
              <w:t>Expected Outcomes</w:t>
            </w:r>
            <w:r w:rsidR="00DD1A12" w:rsidRPr="00DD1A12">
              <w:rPr>
                <w:rFonts w:ascii="Times New Roman" w:hAnsi="Times New Roman" w:cs="Times New Roman"/>
                <w:noProof/>
                <w:webHidden/>
                <w:sz w:val="24"/>
                <w:szCs w:val="24"/>
              </w:rPr>
              <w:tab/>
            </w:r>
            <w:r w:rsidR="00DD1A12" w:rsidRPr="00DD1A12">
              <w:rPr>
                <w:rFonts w:ascii="Times New Roman" w:hAnsi="Times New Roman" w:cs="Times New Roman"/>
                <w:noProof/>
                <w:webHidden/>
                <w:sz w:val="24"/>
                <w:szCs w:val="24"/>
              </w:rPr>
              <w:fldChar w:fldCharType="begin"/>
            </w:r>
            <w:r w:rsidR="00DD1A12" w:rsidRPr="00DD1A12">
              <w:rPr>
                <w:rFonts w:ascii="Times New Roman" w:hAnsi="Times New Roman" w:cs="Times New Roman"/>
                <w:noProof/>
                <w:webHidden/>
                <w:sz w:val="24"/>
                <w:szCs w:val="24"/>
              </w:rPr>
              <w:instrText xml:space="preserve"> PAGEREF _Toc119880501 \h </w:instrText>
            </w:r>
            <w:r w:rsidR="00DD1A12" w:rsidRPr="00DD1A12">
              <w:rPr>
                <w:rFonts w:ascii="Times New Roman" w:hAnsi="Times New Roman" w:cs="Times New Roman"/>
                <w:noProof/>
                <w:webHidden/>
                <w:sz w:val="24"/>
                <w:szCs w:val="24"/>
              </w:rPr>
            </w:r>
            <w:r w:rsidR="00DD1A12" w:rsidRPr="00DD1A12">
              <w:rPr>
                <w:rFonts w:ascii="Times New Roman" w:hAnsi="Times New Roman" w:cs="Times New Roman"/>
                <w:noProof/>
                <w:webHidden/>
                <w:sz w:val="24"/>
                <w:szCs w:val="24"/>
              </w:rPr>
              <w:fldChar w:fldCharType="separate"/>
            </w:r>
            <w:r w:rsidR="0098078E">
              <w:rPr>
                <w:rFonts w:ascii="Times New Roman" w:hAnsi="Times New Roman" w:cs="Times New Roman"/>
                <w:noProof/>
                <w:webHidden/>
                <w:sz w:val="24"/>
                <w:szCs w:val="24"/>
              </w:rPr>
              <w:t>10</w:t>
            </w:r>
            <w:r w:rsidR="00DD1A12" w:rsidRPr="00DD1A12">
              <w:rPr>
                <w:rFonts w:ascii="Times New Roman" w:hAnsi="Times New Roman" w:cs="Times New Roman"/>
                <w:noProof/>
                <w:webHidden/>
                <w:sz w:val="24"/>
                <w:szCs w:val="24"/>
              </w:rPr>
              <w:fldChar w:fldCharType="end"/>
            </w:r>
          </w:hyperlink>
        </w:p>
        <w:p w:rsidR="00DD1A12" w:rsidRPr="00DD1A12" w:rsidRDefault="00B0229A">
          <w:pPr>
            <w:pStyle w:val="TOC1"/>
            <w:tabs>
              <w:tab w:val="left" w:pos="440"/>
              <w:tab w:val="right" w:leader="dot" w:pos="9016"/>
            </w:tabs>
            <w:rPr>
              <w:rFonts w:ascii="Times New Roman" w:eastAsiaTheme="minorEastAsia" w:hAnsi="Times New Roman" w:cs="Times New Roman"/>
              <w:noProof/>
              <w:sz w:val="24"/>
              <w:szCs w:val="24"/>
              <w:lang w:eastAsia="en-MY"/>
            </w:rPr>
          </w:pPr>
          <w:hyperlink w:anchor="_Toc119880502" w:history="1">
            <w:r w:rsidR="00DD1A12" w:rsidRPr="00DD1A12">
              <w:rPr>
                <w:rStyle w:val="Hyperlink"/>
                <w:rFonts w:ascii="Times New Roman" w:hAnsi="Times New Roman" w:cs="Times New Roman"/>
                <w:b/>
                <w:noProof/>
                <w:sz w:val="24"/>
                <w:szCs w:val="24"/>
              </w:rPr>
              <w:t>9.</w:t>
            </w:r>
            <w:r w:rsidR="00DD1A12" w:rsidRPr="00DD1A12">
              <w:rPr>
                <w:rFonts w:ascii="Times New Roman" w:eastAsiaTheme="minorEastAsia" w:hAnsi="Times New Roman" w:cs="Times New Roman"/>
                <w:noProof/>
                <w:sz w:val="24"/>
                <w:szCs w:val="24"/>
                <w:lang w:eastAsia="en-MY"/>
              </w:rPr>
              <w:tab/>
            </w:r>
            <w:r w:rsidR="00DD1A12" w:rsidRPr="00DD1A12">
              <w:rPr>
                <w:rStyle w:val="Hyperlink"/>
                <w:rFonts w:ascii="Times New Roman" w:hAnsi="Times New Roman" w:cs="Times New Roman"/>
                <w:b/>
                <w:noProof/>
                <w:sz w:val="24"/>
                <w:szCs w:val="24"/>
              </w:rPr>
              <w:t>Plan for Implementation</w:t>
            </w:r>
            <w:r w:rsidR="00DD1A12" w:rsidRPr="00DD1A12">
              <w:rPr>
                <w:rFonts w:ascii="Times New Roman" w:hAnsi="Times New Roman" w:cs="Times New Roman"/>
                <w:noProof/>
                <w:webHidden/>
                <w:sz w:val="24"/>
                <w:szCs w:val="24"/>
              </w:rPr>
              <w:tab/>
            </w:r>
            <w:r w:rsidR="00DD1A12" w:rsidRPr="00DD1A12">
              <w:rPr>
                <w:rFonts w:ascii="Times New Roman" w:hAnsi="Times New Roman" w:cs="Times New Roman"/>
                <w:noProof/>
                <w:webHidden/>
                <w:sz w:val="24"/>
                <w:szCs w:val="24"/>
              </w:rPr>
              <w:fldChar w:fldCharType="begin"/>
            </w:r>
            <w:r w:rsidR="00DD1A12" w:rsidRPr="00DD1A12">
              <w:rPr>
                <w:rFonts w:ascii="Times New Roman" w:hAnsi="Times New Roman" w:cs="Times New Roman"/>
                <w:noProof/>
                <w:webHidden/>
                <w:sz w:val="24"/>
                <w:szCs w:val="24"/>
              </w:rPr>
              <w:instrText xml:space="preserve"> PAGEREF _Toc119880502 \h </w:instrText>
            </w:r>
            <w:r w:rsidR="00DD1A12" w:rsidRPr="00DD1A12">
              <w:rPr>
                <w:rFonts w:ascii="Times New Roman" w:hAnsi="Times New Roman" w:cs="Times New Roman"/>
                <w:noProof/>
                <w:webHidden/>
                <w:sz w:val="24"/>
                <w:szCs w:val="24"/>
              </w:rPr>
            </w:r>
            <w:r w:rsidR="00DD1A12" w:rsidRPr="00DD1A12">
              <w:rPr>
                <w:rFonts w:ascii="Times New Roman" w:hAnsi="Times New Roman" w:cs="Times New Roman"/>
                <w:noProof/>
                <w:webHidden/>
                <w:sz w:val="24"/>
                <w:szCs w:val="24"/>
              </w:rPr>
              <w:fldChar w:fldCharType="separate"/>
            </w:r>
            <w:r w:rsidR="0098078E">
              <w:rPr>
                <w:rFonts w:ascii="Times New Roman" w:hAnsi="Times New Roman" w:cs="Times New Roman"/>
                <w:noProof/>
                <w:webHidden/>
                <w:sz w:val="24"/>
                <w:szCs w:val="24"/>
              </w:rPr>
              <w:t>11</w:t>
            </w:r>
            <w:r w:rsidR="00DD1A12" w:rsidRPr="00DD1A12">
              <w:rPr>
                <w:rFonts w:ascii="Times New Roman" w:hAnsi="Times New Roman" w:cs="Times New Roman"/>
                <w:noProof/>
                <w:webHidden/>
                <w:sz w:val="24"/>
                <w:szCs w:val="24"/>
              </w:rPr>
              <w:fldChar w:fldCharType="end"/>
            </w:r>
          </w:hyperlink>
        </w:p>
        <w:p w:rsidR="00DD1A12" w:rsidRPr="00DD1A12" w:rsidRDefault="00B0229A">
          <w:pPr>
            <w:pStyle w:val="TOC1"/>
            <w:tabs>
              <w:tab w:val="left" w:pos="660"/>
              <w:tab w:val="right" w:leader="dot" w:pos="9016"/>
            </w:tabs>
            <w:rPr>
              <w:rFonts w:ascii="Times New Roman" w:eastAsiaTheme="minorEastAsia" w:hAnsi="Times New Roman" w:cs="Times New Roman"/>
              <w:noProof/>
              <w:sz w:val="24"/>
              <w:szCs w:val="24"/>
              <w:lang w:eastAsia="en-MY"/>
            </w:rPr>
          </w:pPr>
          <w:hyperlink w:anchor="_Toc119880503" w:history="1">
            <w:r w:rsidR="00DD1A12" w:rsidRPr="00DD1A12">
              <w:rPr>
                <w:rStyle w:val="Hyperlink"/>
                <w:rFonts w:ascii="Times New Roman" w:hAnsi="Times New Roman" w:cs="Times New Roman"/>
                <w:b/>
                <w:noProof/>
                <w:sz w:val="24"/>
                <w:szCs w:val="24"/>
              </w:rPr>
              <w:t>10.</w:t>
            </w:r>
            <w:r w:rsidR="00DD1A12" w:rsidRPr="00DD1A12">
              <w:rPr>
                <w:rFonts w:ascii="Times New Roman" w:eastAsiaTheme="minorEastAsia" w:hAnsi="Times New Roman" w:cs="Times New Roman"/>
                <w:noProof/>
                <w:sz w:val="24"/>
                <w:szCs w:val="24"/>
                <w:lang w:eastAsia="en-MY"/>
              </w:rPr>
              <w:tab/>
            </w:r>
            <w:r w:rsidR="00DD1A12" w:rsidRPr="00DD1A12">
              <w:rPr>
                <w:rStyle w:val="Hyperlink"/>
                <w:rFonts w:ascii="Times New Roman" w:hAnsi="Times New Roman" w:cs="Times New Roman"/>
                <w:b/>
                <w:noProof/>
                <w:sz w:val="24"/>
                <w:szCs w:val="24"/>
              </w:rPr>
              <w:t>Budget</w:t>
            </w:r>
            <w:r w:rsidR="00DD1A12" w:rsidRPr="00DD1A12">
              <w:rPr>
                <w:rFonts w:ascii="Times New Roman" w:hAnsi="Times New Roman" w:cs="Times New Roman"/>
                <w:noProof/>
                <w:webHidden/>
                <w:sz w:val="24"/>
                <w:szCs w:val="24"/>
              </w:rPr>
              <w:tab/>
            </w:r>
            <w:r w:rsidR="00DD1A12" w:rsidRPr="00DD1A12">
              <w:rPr>
                <w:rFonts w:ascii="Times New Roman" w:hAnsi="Times New Roman" w:cs="Times New Roman"/>
                <w:noProof/>
                <w:webHidden/>
                <w:sz w:val="24"/>
                <w:szCs w:val="24"/>
              </w:rPr>
              <w:fldChar w:fldCharType="begin"/>
            </w:r>
            <w:r w:rsidR="00DD1A12" w:rsidRPr="00DD1A12">
              <w:rPr>
                <w:rFonts w:ascii="Times New Roman" w:hAnsi="Times New Roman" w:cs="Times New Roman"/>
                <w:noProof/>
                <w:webHidden/>
                <w:sz w:val="24"/>
                <w:szCs w:val="24"/>
              </w:rPr>
              <w:instrText xml:space="preserve"> PAGEREF _Toc119880503 \h </w:instrText>
            </w:r>
            <w:r w:rsidR="00DD1A12" w:rsidRPr="00DD1A12">
              <w:rPr>
                <w:rFonts w:ascii="Times New Roman" w:hAnsi="Times New Roman" w:cs="Times New Roman"/>
                <w:noProof/>
                <w:webHidden/>
                <w:sz w:val="24"/>
                <w:szCs w:val="24"/>
              </w:rPr>
            </w:r>
            <w:r w:rsidR="00DD1A12" w:rsidRPr="00DD1A12">
              <w:rPr>
                <w:rFonts w:ascii="Times New Roman" w:hAnsi="Times New Roman" w:cs="Times New Roman"/>
                <w:noProof/>
                <w:webHidden/>
                <w:sz w:val="24"/>
                <w:szCs w:val="24"/>
              </w:rPr>
              <w:fldChar w:fldCharType="separate"/>
            </w:r>
            <w:r w:rsidR="0098078E">
              <w:rPr>
                <w:rFonts w:ascii="Times New Roman" w:hAnsi="Times New Roman" w:cs="Times New Roman"/>
                <w:noProof/>
                <w:webHidden/>
                <w:sz w:val="24"/>
                <w:szCs w:val="24"/>
              </w:rPr>
              <w:t>12</w:t>
            </w:r>
            <w:r w:rsidR="00DD1A12" w:rsidRPr="00DD1A12">
              <w:rPr>
                <w:rFonts w:ascii="Times New Roman" w:hAnsi="Times New Roman" w:cs="Times New Roman"/>
                <w:noProof/>
                <w:webHidden/>
                <w:sz w:val="24"/>
                <w:szCs w:val="24"/>
              </w:rPr>
              <w:fldChar w:fldCharType="end"/>
            </w:r>
          </w:hyperlink>
        </w:p>
        <w:p w:rsidR="00DD1A12" w:rsidRPr="00DD1A12" w:rsidRDefault="00B0229A">
          <w:pPr>
            <w:pStyle w:val="TOC1"/>
            <w:tabs>
              <w:tab w:val="left" w:pos="660"/>
              <w:tab w:val="right" w:leader="dot" w:pos="9016"/>
            </w:tabs>
            <w:rPr>
              <w:rFonts w:ascii="Times New Roman" w:eastAsiaTheme="minorEastAsia" w:hAnsi="Times New Roman" w:cs="Times New Roman"/>
              <w:noProof/>
              <w:sz w:val="24"/>
              <w:szCs w:val="24"/>
              <w:lang w:eastAsia="en-MY"/>
            </w:rPr>
          </w:pPr>
          <w:hyperlink w:anchor="_Toc119880504" w:history="1">
            <w:r w:rsidR="00DD1A12" w:rsidRPr="00DD1A12">
              <w:rPr>
                <w:rStyle w:val="Hyperlink"/>
                <w:rFonts w:ascii="Times New Roman" w:hAnsi="Times New Roman" w:cs="Times New Roman"/>
                <w:b/>
                <w:noProof/>
                <w:sz w:val="24"/>
                <w:szCs w:val="24"/>
              </w:rPr>
              <w:t>11.</w:t>
            </w:r>
            <w:r w:rsidR="00DD1A12" w:rsidRPr="00DD1A12">
              <w:rPr>
                <w:rFonts w:ascii="Times New Roman" w:eastAsiaTheme="minorEastAsia" w:hAnsi="Times New Roman" w:cs="Times New Roman"/>
                <w:noProof/>
                <w:sz w:val="24"/>
                <w:szCs w:val="24"/>
                <w:lang w:eastAsia="en-MY"/>
              </w:rPr>
              <w:tab/>
            </w:r>
            <w:r w:rsidR="00DD1A12" w:rsidRPr="00DD1A12">
              <w:rPr>
                <w:rStyle w:val="Hyperlink"/>
                <w:rFonts w:ascii="Times New Roman" w:hAnsi="Times New Roman" w:cs="Times New Roman"/>
                <w:b/>
                <w:noProof/>
                <w:sz w:val="24"/>
                <w:szCs w:val="24"/>
              </w:rPr>
              <w:t>Conclusion</w:t>
            </w:r>
            <w:r w:rsidR="00DD1A12" w:rsidRPr="00DD1A12">
              <w:rPr>
                <w:rFonts w:ascii="Times New Roman" w:hAnsi="Times New Roman" w:cs="Times New Roman"/>
                <w:noProof/>
                <w:webHidden/>
                <w:sz w:val="24"/>
                <w:szCs w:val="24"/>
              </w:rPr>
              <w:tab/>
            </w:r>
            <w:r w:rsidR="00DD1A12" w:rsidRPr="00DD1A12">
              <w:rPr>
                <w:rFonts w:ascii="Times New Roman" w:hAnsi="Times New Roman" w:cs="Times New Roman"/>
                <w:noProof/>
                <w:webHidden/>
                <w:sz w:val="24"/>
                <w:szCs w:val="24"/>
              </w:rPr>
              <w:fldChar w:fldCharType="begin"/>
            </w:r>
            <w:r w:rsidR="00DD1A12" w:rsidRPr="00DD1A12">
              <w:rPr>
                <w:rFonts w:ascii="Times New Roman" w:hAnsi="Times New Roman" w:cs="Times New Roman"/>
                <w:noProof/>
                <w:webHidden/>
                <w:sz w:val="24"/>
                <w:szCs w:val="24"/>
              </w:rPr>
              <w:instrText xml:space="preserve"> PAGEREF _Toc119880504 \h </w:instrText>
            </w:r>
            <w:r w:rsidR="00DD1A12" w:rsidRPr="00DD1A12">
              <w:rPr>
                <w:rFonts w:ascii="Times New Roman" w:hAnsi="Times New Roman" w:cs="Times New Roman"/>
                <w:noProof/>
                <w:webHidden/>
                <w:sz w:val="24"/>
                <w:szCs w:val="24"/>
              </w:rPr>
            </w:r>
            <w:r w:rsidR="00DD1A12" w:rsidRPr="00DD1A12">
              <w:rPr>
                <w:rFonts w:ascii="Times New Roman" w:hAnsi="Times New Roman" w:cs="Times New Roman"/>
                <w:noProof/>
                <w:webHidden/>
                <w:sz w:val="24"/>
                <w:szCs w:val="24"/>
              </w:rPr>
              <w:fldChar w:fldCharType="separate"/>
            </w:r>
            <w:r w:rsidR="0098078E">
              <w:rPr>
                <w:rFonts w:ascii="Times New Roman" w:hAnsi="Times New Roman" w:cs="Times New Roman"/>
                <w:noProof/>
                <w:webHidden/>
                <w:sz w:val="24"/>
                <w:szCs w:val="24"/>
              </w:rPr>
              <w:t>13</w:t>
            </w:r>
            <w:r w:rsidR="00DD1A12" w:rsidRPr="00DD1A12">
              <w:rPr>
                <w:rFonts w:ascii="Times New Roman" w:hAnsi="Times New Roman" w:cs="Times New Roman"/>
                <w:noProof/>
                <w:webHidden/>
                <w:sz w:val="24"/>
                <w:szCs w:val="24"/>
              </w:rPr>
              <w:fldChar w:fldCharType="end"/>
            </w:r>
          </w:hyperlink>
        </w:p>
        <w:p w:rsidR="00DD1A12" w:rsidRPr="00DD1A12" w:rsidRDefault="00B0229A">
          <w:pPr>
            <w:pStyle w:val="TOC1"/>
            <w:tabs>
              <w:tab w:val="right" w:leader="dot" w:pos="9016"/>
            </w:tabs>
            <w:rPr>
              <w:rFonts w:ascii="Times New Roman" w:eastAsiaTheme="minorEastAsia" w:hAnsi="Times New Roman" w:cs="Times New Roman"/>
              <w:noProof/>
              <w:sz w:val="24"/>
              <w:szCs w:val="24"/>
              <w:lang w:eastAsia="en-MY"/>
            </w:rPr>
          </w:pPr>
          <w:hyperlink w:anchor="_Toc119880505" w:history="1">
            <w:r w:rsidR="00DD1A12" w:rsidRPr="00DD1A12">
              <w:rPr>
                <w:rStyle w:val="Hyperlink"/>
                <w:rFonts w:ascii="Times New Roman" w:hAnsi="Times New Roman" w:cs="Times New Roman"/>
                <w:b/>
                <w:noProof/>
                <w:sz w:val="24"/>
                <w:szCs w:val="24"/>
              </w:rPr>
              <w:t>References</w:t>
            </w:r>
            <w:r w:rsidR="00DD1A12" w:rsidRPr="00DD1A12">
              <w:rPr>
                <w:rFonts w:ascii="Times New Roman" w:hAnsi="Times New Roman" w:cs="Times New Roman"/>
                <w:noProof/>
                <w:webHidden/>
                <w:sz w:val="24"/>
                <w:szCs w:val="24"/>
              </w:rPr>
              <w:tab/>
            </w:r>
            <w:r w:rsidR="00DD1A12" w:rsidRPr="00DD1A12">
              <w:rPr>
                <w:rFonts w:ascii="Times New Roman" w:hAnsi="Times New Roman" w:cs="Times New Roman"/>
                <w:noProof/>
                <w:webHidden/>
                <w:sz w:val="24"/>
                <w:szCs w:val="24"/>
              </w:rPr>
              <w:fldChar w:fldCharType="begin"/>
            </w:r>
            <w:r w:rsidR="00DD1A12" w:rsidRPr="00DD1A12">
              <w:rPr>
                <w:rFonts w:ascii="Times New Roman" w:hAnsi="Times New Roman" w:cs="Times New Roman"/>
                <w:noProof/>
                <w:webHidden/>
                <w:sz w:val="24"/>
                <w:szCs w:val="24"/>
              </w:rPr>
              <w:instrText xml:space="preserve"> PAGEREF _Toc119880505 \h </w:instrText>
            </w:r>
            <w:r w:rsidR="00DD1A12" w:rsidRPr="00DD1A12">
              <w:rPr>
                <w:rFonts w:ascii="Times New Roman" w:hAnsi="Times New Roman" w:cs="Times New Roman"/>
                <w:noProof/>
                <w:webHidden/>
                <w:sz w:val="24"/>
                <w:szCs w:val="24"/>
              </w:rPr>
            </w:r>
            <w:r w:rsidR="00DD1A12" w:rsidRPr="00DD1A12">
              <w:rPr>
                <w:rFonts w:ascii="Times New Roman" w:hAnsi="Times New Roman" w:cs="Times New Roman"/>
                <w:noProof/>
                <w:webHidden/>
                <w:sz w:val="24"/>
                <w:szCs w:val="24"/>
              </w:rPr>
              <w:fldChar w:fldCharType="separate"/>
            </w:r>
            <w:r w:rsidR="0098078E">
              <w:rPr>
                <w:rFonts w:ascii="Times New Roman" w:hAnsi="Times New Roman" w:cs="Times New Roman"/>
                <w:noProof/>
                <w:webHidden/>
                <w:sz w:val="24"/>
                <w:szCs w:val="24"/>
              </w:rPr>
              <w:t>14</w:t>
            </w:r>
            <w:r w:rsidR="00DD1A12" w:rsidRPr="00DD1A12">
              <w:rPr>
                <w:rFonts w:ascii="Times New Roman" w:hAnsi="Times New Roman" w:cs="Times New Roman"/>
                <w:noProof/>
                <w:webHidden/>
                <w:sz w:val="24"/>
                <w:szCs w:val="24"/>
              </w:rPr>
              <w:fldChar w:fldCharType="end"/>
            </w:r>
          </w:hyperlink>
        </w:p>
        <w:p w:rsidR="00DD1A12" w:rsidRPr="00DD1A12" w:rsidRDefault="00B0229A">
          <w:pPr>
            <w:pStyle w:val="TOC1"/>
            <w:tabs>
              <w:tab w:val="right" w:leader="dot" w:pos="9016"/>
            </w:tabs>
            <w:rPr>
              <w:rFonts w:ascii="Times New Roman" w:eastAsiaTheme="minorEastAsia" w:hAnsi="Times New Roman" w:cs="Times New Roman"/>
              <w:noProof/>
              <w:sz w:val="24"/>
              <w:szCs w:val="24"/>
              <w:lang w:eastAsia="en-MY"/>
            </w:rPr>
          </w:pPr>
          <w:hyperlink w:anchor="_Toc119880506" w:history="1">
            <w:r w:rsidR="00DD1A12" w:rsidRPr="00DD1A12">
              <w:rPr>
                <w:rStyle w:val="Hyperlink"/>
                <w:rFonts w:ascii="Times New Roman" w:hAnsi="Times New Roman" w:cs="Times New Roman"/>
                <w:b/>
                <w:noProof/>
                <w:sz w:val="24"/>
                <w:szCs w:val="24"/>
              </w:rPr>
              <w:t>Annexes</w:t>
            </w:r>
            <w:r w:rsidR="00DD1A12" w:rsidRPr="00DD1A12">
              <w:rPr>
                <w:rFonts w:ascii="Times New Roman" w:hAnsi="Times New Roman" w:cs="Times New Roman"/>
                <w:noProof/>
                <w:webHidden/>
                <w:sz w:val="24"/>
                <w:szCs w:val="24"/>
              </w:rPr>
              <w:tab/>
            </w:r>
            <w:r w:rsidR="00DD1A12" w:rsidRPr="00DD1A12">
              <w:rPr>
                <w:rFonts w:ascii="Times New Roman" w:hAnsi="Times New Roman" w:cs="Times New Roman"/>
                <w:noProof/>
                <w:webHidden/>
                <w:sz w:val="24"/>
                <w:szCs w:val="24"/>
              </w:rPr>
              <w:fldChar w:fldCharType="begin"/>
            </w:r>
            <w:r w:rsidR="00DD1A12" w:rsidRPr="00DD1A12">
              <w:rPr>
                <w:rFonts w:ascii="Times New Roman" w:hAnsi="Times New Roman" w:cs="Times New Roman"/>
                <w:noProof/>
                <w:webHidden/>
                <w:sz w:val="24"/>
                <w:szCs w:val="24"/>
              </w:rPr>
              <w:instrText xml:space="preserve"> PAGEREF _Toc119880506 \h </w:instrText>
            </w:r>
            <w:r w:rsidR="00DD1A12" w:rsidRPr="00DD1A12">
              <w:rPr>
                <w:rFonts w:ascii="Times New Roman" w:hAnsi="Times New Roman" w:cs="Times New Roman"/>
                <w:noProof/>
                <w:webHidden/>
                <w:sz w:val="24"/>
                <w:szCs w:val="24"/>
              </w:rPr>
            </w:r>
            <w:r w:rsidR="00DD1A12" w:rsidRPr="00DD1A12">
              <w:rPr>
                <w:rFonts w:ascii="Times New Roman" w:hAnsi="Times New Roman" w:cs="Times New Roman"/>
                <w:noProof/>
                <w:webHidden/>
                <w:sz w:val="24"/>
                <w:szCs w:val="24"/>
              </w:rPr>
              <w:fldChar w:fldCharType="separate"/>
            </w:r>
            <w:r w:rsidR="0098078E">
              <w:rPr>
                <w:rFonts w:ascii="Times New Roman" w:hAnsi="Times New Roman" w:cs="Times New Roman"/>
                <w:noProof/>
                <w:webHidden/>
                <w:sz w:val="24"/>
                <w:szCs w:val="24"/>
              </w:rPr>
              <w:t>16</w:t>
            </w:r>
            <w:r w:rsidR="00DD1A12" w:rsidRPr="00DD1A12">
              <w:rPr>
                <w:rFonts w:ascii="Times New Roman" w:hAnsi="Times New Roman" w:cs="Times New Roman"/>
                <w:noProof/>
                <w:webHidden/>
                <w:sz w:val="24"/>
                <w:szCs w:val="24"/>
              </w:rPr>
              <w:fldChar w:fldCharType="end"/>
            </w:r>
          </w:hyperlink>
        </w:p>
        <w:p w:rsidR="00DD1A12" w:rsidRPr="00DD1A12" w:rsidRDefault="00B0229A">
          <w:pPr>
            <w:pStyle w:val="TOC2"/>
            <w:tabs>
              <w:tab w:val="right" w:leader="dot" w:pos="9016"/>
            </w:tabs>
            <w:rPr>
              <w:rFonts w:ascii="Times New Roman" w:eastAsiaTheme="minorEastAsia" w:hAnsi="Times New Roman" w:cs="Times New Roman"/>
              <w:noProof/>
              <w:sz w:val="24"/>
              <w:szCs w:val="24"/>
              <w:lang w:eastAsia="en-MY"/>
            </w:rPr>
          </w:pPr>
          <w:hyperlink w:anchor="_Toc119880507" w:history="1">
            <w:r w:rsidR="00DD1A12" w:rsidRPr="00DD1A12">
              <w:rPr>
                <w:rStyle w:val="Hyperlink"/>
                <w:rFonts w:ascii="Times New Roman" w:hAnsi="Times New Roman" w:cs="Times New Roman"/>
                <w:noProof/>
                <w:sz w:val="24"/>
                <w:szCs w:val="24"/>
              </w:rPr>
              <w:t>Annex 1. Tentative program for the Online TPC-OHCIS User Training Modules workshop</w:t>
            </w:r>
            <w:r w:rsidR="00DD1A12" w:rsidRPr="00DD1A12">
              <w:rPr>
                <w:rFonts w:ascii="Times New Roman" w:hAnsi="Times New Roman" w:cs="Times New Roman"/>
                <w:noProof/>
                <w:webHidden/>
                <w:sz w:val="24"/>
                <w:szCs w:val="24"/>
              </w:rPr>
              <w:tab/>
            </w:r>
            <w:r w:rsidR="00DD1A12" w:rsidRPr="00DD1A12">
              <w:rPr>
                <w:rFonts w:ascii="Times New Roman" w:hAnsi="Times New Roman" w:cs="Times New Roman"/>
                <w:noProof/>
                <w:webHidden/>
                <w:sz w:val="24"/>
                <w:szCs w:val="24"/>
              </w:rPr>
              <w:fldChar w:fldCharType="begin"/>
            </w:r>
            <w:r w:rsidR="00DD1A12" w:rsidRPr="00DD1A12">
              <w:rPr>
                <w:rFonts w:ascii="Times New Roman" w:hAnsi="Times New Roman" w:cs="Times New Roman"/>
                <w:noProof/>
                <w:webHidden/>
                <w:sz w:val="24"/>
                <w:szCs w:val="24"/>
              </w:rPr>
              <w:instrText xml:space="preserve"> PAGEREF _Toc119880507 \h </w:instrText>
            </w:r>
            <w:r w:rsidR="00DD1A12" w:rsidRPr="00DD1A12">
              <w:rPr>
                <w:rFonts w:ascii="Times New Roman" w:hAnsi="Times New Roman" w:cs="Times New Roman"/>
                <w:noProof/>
                <w:webHidden/>
                <w:sz w:val="24"/>
                <w:szCs w:val="24"/>
              </w:rPr>
            </w:r>
            <w:r w:rsidR="00DD1A12" w:rsidRPr="00DD1A12">
              <w:rPr>
                <w:rFonts w:ascii="Times New Roman" w:hAnsi="Times New Roman" w:cs="Times New Roman"/>
                <w:noProof/>
                <w:webHidden/>
                <w:sz w:val="24"/>
                <w:szCs w:val="24"/>
              </w:rPr>
              <w:fldChar w:fldCharType="separate"/>
            </w:r>
            <w:r w:rsidR="0098078E">
              <w:rPr>
                <w:rFonts w:ascii="Times New Roman" w:hAnsi="Times New Roman" w:cs="Times New Roman"/>
                <w:noProof/>
                <w:webHidden/>
                <w:sz w:val="24"/>
                <w:szCs w:val="24"/>
              </w:rPr>
              <w:t>16</w:t>
            </w:r>
            <w:r w:rsidR="00DD1A12" w:rsidRPr="00DD1A12">
              <w:rPr>
                <w:rFonts w:ascii="Times New Roman" w:hAnsi="Times New Roman" w:cs="Times New Roman"/>
                <w:noProof/>
                <w:webHidden/>
                <w:sz w:val="24"/>
                <w:szCs w:val="24"/>
              </w:rPr>
              <w:fldChar w:fldCharType="end"/>
            </w:r>
          </w:hyperlink>
        </w:p>
        <w:p w:rsidR="00DD1A12" w:rsidRDefault="00B0229A">
          <w:pPr>
            <w:pStyle w:val="TOC2"/>
            <w:tabs>
              <w:tab w:val="right" w:leader="dot" w:pos="9016"/>
            </w:tabs>
            <w:rPr>
              <w:rFonts w:eastAsiaTheme="minorEastAsia"/>
              <w:noProof/>
              <w:lang w:eastAsia="en-MY"/>
            </w:rPr>
          </w:pPr>
          <w:hyperlink w:anchor="_Toc119880508" w:history="1">
            <w:r w:rsidR="00DD1A12" w:rsidRPr="00DD1A12">
              <w:rPr>
                <w:rStyle w:val="Hyperlink"/>
                <w:rFonts w:ascii="Times New Roman" w:hAnsi="Times New Roman" w:cs="Times New Roman"/>
                <w:noProof/>
                <w:sz w:val="24"/>
                <w:szCs w:val="24"/>
              </w:rPr>
              <w:t>Annex 2. Modules in the Online User Training Modules according to healthcare worker designation</w:t>
            </w:r>
            <w:r w:rsidR="00DD1A12" w:rsidRPr="00DD1A12">
              <w:rPr>
                <w:rFonts w:ascii="Times New Roman" w:hAnsi="Times New Roman" w:cs="Times New Roman"/>
                <w:noProof/>
                <w:webHidden/>
                <w:sz w:val="24"/>
                <w:szCs w:val="24"/>
              </w:rPr>
              <w:tab/>
            </w:r>
            <w:r w:rsidR="00DD1A12" w:rsidRPr="00DD1A12">
              <w:rPr>
                <w:rFonts w:ascii="Times New Roman" w:hAnsi="Times New Roman" w:cs="Times New Roman"/>
                <w:noProof/>
                <w:webHidden/>
                <w:sz w:val="24"/>
                <w:szCs w:val="24"/>
              </w:rPr>
              <w:fldChar w:fldCharType="begin"/>
            </w:r>
            <w:r w:rsidR="00DD1A12" w:rsidRPr="00DD1A12">
              <w:rPr>
                <w:rFonts w:ascii="Times New Roman" w:hAnsi="Times New Roman" w:cs="Times New Roman"/>
                <w:noProof/>
                <w:webHidden/>
                <w:sz w:val="24"/>
                <w:szCs w:val="24"/>
              </w:rPr>
              <w:instrText xml:space="preserve"> PAGEREF _Toc119880508 \h </w:instrText>
            </w:r>
            <w:r w:rsidR="00DD1A12" w:rsidRPr="00DD1A12">
              <w:rPr>
                <w:rFonts w:ascii="Times New Roman" w:hAnsi="Times New Roman" w:cs="Times New Roman"/>
                <w:noProof/>
                <w:webHidden/>
                <w:sz w:val="24"/>
                <w:szCs w:val="24"/>
              </w:rPr>
            </w:r>
            <w:r w:rsidR="00DD1A12" w:rsidRPr="00DD1A12">
              <w:rPr>
                <w:rFonts w:ascii="Times New Roman" w:hAnsi="Times New Roman" w:cs="Times New Roman"/>
                <w:noProof/>
                <w:webHidden/>
                <w:sz w:val="24"/>
                <w:szCs w:val="24"/>
              </w:rPr>
              <w:fldChar w:fldCharType="separate"/>
            </w:r>
            <w:r w:rsidR="0098078E">
              <w:rPr>
                <w:rFonts w:ascii="Times New Roman" w:hAnsi="Times New Roman" w:cs="Times New Roman"/>
                <w:noProof/>
                <w:webHidden/>
                <w:sz w:val="24"/>
                <w:szCs w:val="24"/>
              </w:rPr>
              <w:t>17</w:t>
            </w:r>
            <w:r w:rsidR="00DD1A12" w:rsidRPr="00DD1A12">
              <w:rPr>
                <w:rFonts w:ascii="Times New Roman" w:hAnsi="Times New Roman" w:cs="Times New Roman"/>
                <w:noProof/>
                <w:webHidden/>
                <w:sz w:val="24"/>
                <w:szCs w:val="24"/>
              </w:rPr>
              <w:fldChar w:fldCharType="end"/>
            </w:r>
          </w:hyperlink>
        </w:p>
        <w:p w:rsidR="00BC0F3F" w:rsidRDefault="001A0C44">
          <w:r w:rsidRPr="006A7598">
            <w:rPr>
              <w:rFonts w:ascii="Times New Roman" w:hAnsi="Times New Roman" w:cs="Times New Roman"/>
              <w:bCs/>
              <w:noProof/>
              <w:sz w:val="24"/>
              <w:szCs w:val="24"/>
              <w:lang w:val="en-US"/>
            </w:rPr>
            <w:fldChar w:fldCharType="end"/>
          </w:r>
        </w:p>
      </w:sdtContent>
    </w:sdt>
    <w:p w:rsidR="000F6B66" w:rsidRDefault="000F6B66"/>
    <w:p w:rsidR="00573E1C" w:rsidRDefault="00573E1C"/>
    <w:p w:rsidR="00BC0F3F" w:rsidRDefault="00BC0F3F">
      <w:pPr>
        <w:sectPr w:rsidR="00BC0F3F" w:rsidSect="004570D1">
          <w:footerReference w:type="default" r:id="rId9"/>
          <w:footerReference w:type="first" r:id="rId10"/>
          <w:pgSz w:w="11906" w:h="16838"/>
          <w:pgMar w:top="1440" w:right="1440" w:bottom="1440" w:left="1440" w:header="708" w:footer="708" w:gutter="0"/>
          <w:pgNumType w:fmt="lowerRoman" w:start="0"/>
          <w:cols w:space="708"/>
          <w:titlePg/>
          <w:docGrid w:linePitch="360"/>
        </w:sectPr>
      </w:pPr>
    </w:p>
    <w:p w:rsidR="00573E1C" w:rsidRPr="008E0689" w:rsidRDefault="00BC0F3F" w:rsidP="00F2059C">
      <w:pPr>
        <w:pStyle w:val="Heading1"/>
        <w:spacing w:line="360" w:lineRule="auto"/>
        <w:rPr>
          <w:rFonts w:ascii="Times New Roman" w:hAnsi="Times New Roman" w:cs="Times New Roman"/>
          <w:b/>
          <w:color w:val="000000" w:themeColor="text1"/>
          <w:sz w:val="24"/>
          <w:szCs w:val="24"/>
        </w:rPr>
      </w:pPr>
      <w:bookmarkStart w:id="0" w:name="_Toc119880492"/>
      <w:r w:rsidRPr="008E0689">
        <w:rPr>
          <w:rFonts w:ascii="Times New Roman" w:hAnsi="Times New Roman" w:cs="Times New Roman"/>
          <w:b/>
          <w:color w:val="000000" w:themeColor="text1"/>
          <w:sz w:val="24"/>
          <w:szCs w:val="24"/>
        </w:rPr>
        <w:lastRenderedPageBreak/>
        <w:t>Acknowledgements</w:t>
      </w:r>
      <w:bookmarkEnd w:id="0"/>
    </w:p>
    <w:p w:rsidR="001B5411" w:rsidRPr="00E93D5E" w:rsidRDefault="001B5411" w:rsidP="00D80BAD">
      <w:pPr>
        <w:spacing w:line="360" w:lineRule="auto"/>
        <w:rPr>
          <w:rFonts w:ascii="Times New Roman" w:hAnsi="Times New Roman" w:cs="Times New Roman"/>
        </w:rPr>
      </w:pPr>
    </w:p>
    <w:p w:rsidR="009E7D42" w:rsidRPr="00217D60" w:rsidRDefault="008F3FD3" w:rsidP="00D80BAD">
      <w:pPr>
        <w:spacing w:line="360" w:lineRule="auto"/>
        <w:jc w:val="both"/>
        <w:rPr>
          <w:rFonts w:ascii="Times New Roman" w:hAnsi="Times New Roman" w:cs="Times New Roman"/>
          <w:sz w:val="24"/>
          <w:szCs w:val="24"/>
        </w:rPr>
      </w:pPr>
      <w:r w:rsidRPr="00217D60">
        <w:rPr>
          <w:rFonts w:ascii="Times New Roman" w:hAnsi="Times New Roman" w:cs="Times New Roman"/>
          <w:sz w:val="24"/>
          <w:szCs w:val="24"/>
        </w:rPr>
        <w:t xml:space="preserve">Thank you to the Teleprimary Care and </w:t>
      </w:r>
      <w:r w:rsidR="00D80BAD" w:rsidRPr="00217D60">
        <w:rPr>
          <w:rFonts w:ascii="Times New Roman" w:hAnsi="Times New Roman" w:cs="Times New Roman"/>
          <w:sz w:val="24"/>
          <w:szCs w:val="24"/>
        </w:rPr>
        <w:t>Health Information Sector, Family Health Development Division, Ministry of Health Malaysia for the access to the current training documents and training environment for the Teleprimary Care – Oral Health Clinical Info</w:t>
      </w:r>
      <w:r w:rsidR="00857082">
        <w:rPr>
          <w:rFonts w:ascii="Times New Roman" w:hAnsi="Times New Roman" w:cs="Times New Roman"/>
          <w:sz w:val="24"/>
          <w:szCs w:val="24"/>
        </w:rPr>
        <w:t>rmation System (TPC-OHCIS). M</w:t>
      </w:r>
      <w:r w:rsidR="00D80BAD" w:rsidRPr="00217D60">
        <w:rPr>
          <w:rFonts w:ascii="Times New Roman" w:hAnsi="Times New Roman" w:cs="Times New Roman"/>
          <w:sz w:val="24"/>
          <w:szCs w:val="24"/>
        </w:rPr>
        <w:t>any thanks to Dr Fairus Zana Binti Mohd Rathi, the Sector Lead for</w:t>
      </w:r>
      <w:r w:rsidR="009E7D42" w:rsidRPr="00217D60">
        <w:rPr>
          <w:rFonts w:ascii="Times New Roman" w:hAnsi="Times New Roman" w:cs="Times New Roman"/>
          <w:sz w:val="24"/>
          <w:szCs w:val="24"/>
        </w:rPr>
        <w:t xml:space="preserve"> supporting and</w:t>
      </w:r>
      <w:r w:rsidR="00D80BAD" w:rsidRPr="00217D60">
        <w:rPr>
          <w:rFonts w:ascii="Times New Roman" w:hAnsi="Times New Roman" w:cs="Times New Roman"/>
          <w:sz w:val="24"/>
          <w:szCs w:val="24"/>
        </w:rPr>
        <w:t xml:space="preserve"> approving this project.</w:t>
      </w:r>
      <w:r w:rsidR="000325FD" w:rsidRPr="00217D60">
        <w:rPr>
          <w:rFonts w:ascii="Times New Roman" w:hAnsi="Times New Roman" w:cs="Times New Roman"/>
          <w:sz w:val="24"/>
          <w:szCs w:val="24"/>
        </w:rPr>
        <w:t xml:space="preserve"> </w:t>
      </w:r>
      <w:r w:rsidR="009E7D42" w:rsidRPr="00217D60">
        <w:rPr>
          <w:rFonts w:ascii="Times New Roman" w:hAnsi="Times New Roman" w:cs="Times New Roman"/>
          <w:sz w:val="24"/>
          <w:szCs w:val="24"/>
        </w:rPr>
        <w:t xml:space="preserve">Special thanks to </w:t>
      </w:r>
      <w:r w:rsidR="00403665" w:rsidRPr="00217D60">
        <w:rPr>
          <w:rFonts w:ascii="Times New Roman" w:hAnsi="Times New Roman" w:cs="Times New Roman"/>
          <w:sz w:val="24"/>
          <w:szCs w:val="24"/>
        </w:rPr>
        <w:t>Rohaya binti Ahmad</w:t>
      </w:r>
      <w:r w:rsidR="009E7D42" w:rsidRPr="00217D60">
        <w:rPr>
          <w:rFonts w:ascii="Times New Roman" w:hAnsi="Times New Roman" w:cs="Times New Roman"/>
          <w:sz w:val="24"/>
          <w:szCs w:val="24"/>
        </w:rPr>
        <w:t xml:space="preserve"> for </w:t>
      </w:r>
      <w:r w:rsidR="0035452F" w:rsidRPr="00217D60">
        <w:rPr>
          <w:rFonts w:ascii="Times New Roman" w:hAnsi="Times New Roman" w:cs="Times New Roman"/>
          <w:sz w:val="24"/>
          <w:szCs w:val="24"/>
        </w:rPr>
        <w:t xml:space="preserve">her </w:t>
      </w:r>
      <w:r w:rsidR="000325FD" w:rsidRPr="00217D60">
        <w:rPr>
          <w:rFonts w:ascii="Times New Roman" w:hAnsi="Times New Roman" w:cs="Times New Roman"/>
          <w:sz w:val="24"/>
          <w:szCs w:val="24"/>
        </w:rPr>
        <w:t>advice</w:t>
      </w:r>
      <w:r w:rsidR="009E7D42" w:rsidRPr="00217D60">
        <w:rPr>
          <w:rFonts w:ascii="Times New Roman" w:hAnsi="Times New Roman" w:cs="Times New Roman"/>
          <w:sz w:val="24"/>
          <w:szCs w:val="24"/>
        </w:rPr>
        <w:t>, expert opinion and support on the development of the secured online website for this project</w:t>
      </w:r>
      <w:r w:rsidR="000325FD" w:rsidRPr="00217D60">
        <w:rPr>
          <w:rFonts w:ascii="Times New Roman" w:hAnsi="Times New Roman" w:cs="Times New Roman"/>
          <w:sz w:val="24"/>
          <w:szCs w:val="24"/>
        </w:rPr>
        <w:t>.</w:t>
      </w:r>
    </w:p>
    <w:p w:rsidR="00484E3E" w:rsidRDefault="00484E3E" w:rsidP="001B5411">
      <w:r>
        <w:br w:type="page"/>
      </w:r>
    </w:p>
    <w:p w:rsidR="00484E3E" w:rsidRPr="007265AA" w:rsidRDefault="00484E3E" w:rsidP="007265AA">
      <w:pPr>
        <w:pStyle w:val="Heading1"/>
        <w:spacing w:after="240" w:line="360" w:lineRule="auto"/>
        <w:rPr>
          <w:rFonts w:ascii="Times New Roman" w:hAnsi="Times New Roman" w:cs="Times New Roman"/>
          <w:b/>
          <w:color w:val="000000" w:themeColor="text1"/>
          <w:sz w:val="24"/>
          <w:szCs w:val="24"/>
        </w:rPr>
      </w:pPr>
      <w:bookmarkStart w:id="1" w:name="_Toc119880493"/>
      <w:r w:rsidRPr="008E0689">
        <w:rPr>
          <w:rFonts w:ascii="Times New Roman" w:hAnsi="Times New Roman" w:cs="Times New Roman"/>
          <w:b/>
          <w:color w:val="000000" w:themeColor="text1"/>
          <w:sz w:val="24"/>
          <w:szCs w:val="24"/>
        </w:rPr>
        <w:lastRenderedPageBreak/>
        <w:t>Executive Summary</w:t>
      </w:r>
      <w:bookmarkEnd w:id="1"/>
    </w:p>
    <w:p w:rsidR="009B7F2B" w:rsidRDefault="00F8289C" w:rsidP="006E1B0E">
      <w:pPr>
        <w:spacing w:line="360" w:lineRule="auto"/>
        <w:jc w:val="both"/>
        <w:rPr>
          <w:rFonts w:ascii="Times New Roman" w:hAnsi="Times New Roman" w:cs="Times New Roman"/>
          <w:sz w:val="24"/>
          <w:szCs w:val="24"/>
        </w:rPr>
      </w:pPr>
      <w:r w:rsidRPr="00F8289C">
        <w:rPr>
          <w:rFonts w:ascii="Times New Roman" w:hAnsi="Times New Roman" w:cs="Times New Roman"/>
          <w:sz w:val="24"/>
          <w:szCs w:val="24"/>
        </w:rPr>
        <w:t>Teleprimary Care – Oral Health Clinical Information System (TPC-OHCIS) is Malaysia’s Electronic Health Record</w:t>
      </w:r>
      <w:r w:rsidR="007649F7">
        <w:rPr>
          <w:rFonts w:ascii="Times New Roman" w:hAnsi="Times New Roman" w:cs="Times New Roman"/>
          <w:sz w:val="24"/>
          <w:szCs w:val="24"/>
        </w:rPr>
        <w:t xml:space="preserve"> (EHR)</w:t>
      </w:r>
      <w:r w:rsidRPr="00F8289C">
        <w:rPr>
          <w:rFonts w:ascii="Times New Roman" w:hAnsi="Times New Roman" w:cs="Times New Roman"/>
          <w:sz w:val="24"/>
          <w:szCs w:val="24"/>
        </w:rPr>
        <w:t xml:space="preserve"> system in its 102 government health clinics. Its users are end-to-end of the primary h</w:t>
      </w:r>
      <w:r w:rsidR="00366FE1">
        <w:rPr>
          <w:rFonts w:ascii="Times New Roman" w:hAnsi="Times New Roman" w:cs="Times New Roman"/>
          <w:sz w:val="24"/>
          <w:szCs w:val="24"/>
        </w:rPr>
        <w:t>ealthcare service which include</w:t>
      </w:r>
      <w:r w:rsidRPr="00F8289C">
        <w:rPr>
          <w:rFonts w:ascii="Times New Roman" w:hAnsi="Times New Roman" w:cs="Times New Roman"/>
          <w:sz w:val="24"/>
          <w:szCs w:val="24"/>
        </w:rPr>
        <w:t xml:space="preserve"> multiple categories of healthcare workers with each of them having their </w:t>
      </w:r>
      <w:r w:rsidR="009B7F2B">
        <w:rPr>
          <w:rFonts w:ascii="Times New Roman" w:hAnsi="Times New Roman" w:cs="Times New Roman"/>
          <w:sz w:val="24"/>
          <w:szCs w:val="24"/>
        </w:rPr>
        <w:t xml:space="preserve">own </w:t>
      </w:r>
      <w:r w:rsidRPr="00F8289C">
        <w:rPr>
          <w:rFonts w:ascii="Times New Roman" w:hAnsi="Times New Roman" w:cs="Times New Roman"/>
          <w:sz w:val="24"/>
          <w:szCs w:val="24"/>
        </w:rPr>
        <w:t>specific set of functions.</w:t>
      </w:r>
      <w:r>
        <w:rPr>
          <w:rFonts w:ascii="Times New Roman" w:hAnsi="Times New Roman" w:cs="Times New Roman"/>
          <w:sz w:val="24"/>
          <w:szCs w:val="24"/>
        </w:rPr>
        <w:t xml:space="preserve"> </w:t>
      </w:r>
      <w:r w:rsidR="00A43D2B">
        <w:rPr>
          <w:rFonts w:ascii="Times New Roman" w:hAnsi="Times New Roman" w:cs="Times New Roman"/>
          <w:sz w:val="24"/>
          <w:szCs w:val="24"/>
        </w:rPr>
        <w:t xml:space="preserve">Currently, the average </w:t>
      </w:r>
      <w:r w:rsidR="00A43D2B" w:rsidRPr="00FE6970">
        <w:rPr>
          <w:rFonts w:ascii="Times New Roman" w:hAnsi="Times New Roman" w:cs="Times New Roman"/>
          <w:sz w:val="24"/>
          <w:szCs w:val="24"/>
        </w:rPr>
        <w:t>percentage of usage of the TPC-OHCIS</w:t>
      </w:r>
      <w:r w:rsidR="00A43D2B">
        <w:rPr>
          <w:rFonts w:ascii="Times New Roman" w:hAnsi="Times New Roman" w:cs="Times New Roman"/>
          <w:sz w:val="24"/>
          <w:szCs w:val="24"/>
        </w:rPr>
        <w:t xml:space="preserve"> in states only between 50% to 80%. T</w:t>
      </w:r>
      <w:r w:rsidRPr="00F8289C">
        <w:rPr>
          <w:rFonts w:ascii="Times New Roman" w:hAnsi="Times New Roman" w:cs="Times New Roman"/>
          <w:sz w:val="24"/>
          <w:szCs w:val="24"/>
        </w:rPr>
        <w:t>he user training for TPC-OHCIS is a lengthy three full-day, twice-a-year training classes</w:t>
      </w:r>
      <w:r w:rsidR="00075D20">
        <w:rPr>
          <w:rFonts w:ascii="Times New Roman" w:hAnsi="Times New Roman" w:cs="Times New Roman"/>
          <w:sz w:val="24"/>
          <w:szCs w:val="24"/>
        </w:rPr>
        <w:t xml:space="preserve"> </w:t>
      </w:r>
      <w:r w:rsidR="00075D20" w:rsidRPr="00F8289C">
        <w:rPr>
          <w:rFonts w:ascii="Times New Roman" w:hAnsi="Times New Roman" w:cs="Times New Roman"/>
          <w:sz w:val="24"/>
          <w:szCs w:val="24"/>
        </w:rPr>
        <w:t>organized on specific dates</w:t>
      </w:r>
      <w:r w:rsidRPr="00F8289C">
        <w:rPr>
          <w:rFonts w:ascii="Times New Roman" w:hAnsi="Times New Roman" w:cs="Times New Roman"/>
          <w:sz w:val="24"/>
          <w:szCs w:val="24"/>
        </w:rPr>
        <w:t xml:space="preserve">. This poses a problem as Malaysian government health clinics are very busy and has frequent staff turnover which cannot afford many of its staff going out for training at the same time causing poor coverage of TPC-OHCIS user training. Thus, there is a need for an accessible, shorter module-by-module and all year round delivery of training </w:t>
      </w:r>
      <w:r w:rsidR="00366FE1">
        <w:rPr>
          <w:rFonts w:ascii="Times New Roman" w:hAnsi="Times New Roman" w:cs="Times New Roman"/>
          <w:sz w:val="24"/>
          <w:szCs w:val="24"/>
        </w:rPr>
        <w:t>for the staff.</w:t>
      </w:r>
    </w:p>
    <w:p w:rsidR="00484E3E" w:rsidRDefault="006E1B0E" w:rsidP="009B7F2B">
      <w:pPr>
        <w:spacing w:line="360" w:lineRule="auto"/>
        <w:ind w:firstLine="720"/>
        <w:jc w:val="both"/>
        <w:rPr>
          <w:rFonts w:ascii="Times New Roman" w:hAnsi="Times New Roman" w:cs="Times New Roman"/>
          <w:sz w:val="24"/>
          <w:szCs w:val="24"/>
        </w:rPr>
      </w:pPr>
      <w:r w:rsidRPr="003D3414">
        <w:rPr>
          <w:rFonts w:ascii="Times New Roman" w:hAnsi="Times New Roman" w:cs="Times New Roman"/>
          <w:sz w:val="24"/>
          <w:szCs w:val="24"/>
        </w:rPr>
        <w:t>T</w:t>
      </w:r>
      <w:r w:rsidR="00A43D2B">
        <w:rPr>
          <w:rFonts w:ascii="Times New Roman" w:hAnsi="Times New Roman" w:cs="Times New Roman"/>
          <w:sz w:val="24"/>
          <w:szCs w:val="24"/>
        </w:rPr>
        <w:t>his project aims</w:t>
      </w:r>
      <w:r w:rsidR="006064C3">
        <w:rPr>
          <w:rFonts w:ascii="Times New Roman" w:hAnsi="Times New Roman" w:cs="Times New Roman"/>
          <w:sz w:val="24"/>
          <w:szCs w:val="24"/>
        </w:rPr>
        <w:t xml:space="preserve"> to increase</w:t>
      </w:r>
      <w:r w:rsidR="00A43D2B" w:rsidRPr="00A43D2B">
        <w:rPr>
          <w:rFonts w:ascii="Times New Roman" w:hAnsi="Times New Roman" w:cs="Times New Roman"/>
          <w:sz w:val="24"/>
          <w:szCs w:val="24"/>
        </w:rPr>
        <w:t xml:space="preserve"> percentage of usage of the TPC-OHCIS in Malaysian government health clinics. The specific objectives of this project are</w:t>
      </w:r>
      <w:r w:rsidR="00075D20">
        <w:rPr>
          <w:rFonts w:ascii="Times New Roman" w:hAnsi="Times New Roman" w:cs="Times New Roman"/>
          <w:sz w:val="24"/>
          <w:szCs w:val="24"/>
        </w:rPr>
        <w:t>:</w:t>
      </w:r>
      <w:r w:rsidR="00A43D2B" w:rsidRPr="00A43D2B">
        <w:rPr>
          <w:rFonts w:ascii="Times New Roman" w:hAnsi="Times New Roman" w:cs="Times New Roman"/>
          <w:sz w:val="24"/>
          <w:szCs w:val="24"/>
        </w:rPr>
        <w:t xml:space="preserve"> 1) To list TPC-OHCIS components tai</w:t>
      </w:r>
      <w:r w:rsidR="00075D20">
        <w:rPr>
          <w:rFonts w:ascii="Times New Roman" w:hAnsi="Times New Roman" w:cs="Times New Roman"/>
          <w:sz w:val="24"/>
          <w:szCs w:val="24"/>
        </w:rPr>
        <w:t>lored to each healthcare worker;</w:t>
      </w:r>
      <w:r w:rsidR="00A43D2B" w:rsidRPr="00A43D2B">
        <w:rPr>
          <w:rFonts w:ascii="Times New Roman" w:hAnsi="Times New Roman" w:cs="Times New Roman"/>
          <w:sz w:val="24"/>
          <w:szCs w:val="24"/>
        </w:rPr>
        <w:t xml:space="preserve"> 2) To list out educatio</w:t>
      </w:r>
      <w:r w:rsidR="00075D20">
        <w:rPr>
          <w:rFonts w:ascii="Times New Roman" w:hAnsi="Times New Roman" w:cs="Times New Roman"/>
          <w:sz w:val="24"/>
          <w:szCs w:val="24"/>
        </w:rPr>
        <w:t>n materials and its description;</w:t>
      </w:r>
      <w:r w:rsidR="00A43D2B" w:rsidRPr="00A43D2B">
        <w:rPr>
          <w:rFonts w:ascii="Times New Roman" w:hAnsi="Times New Roman" w:cs="Times New Roman"/>
          <w:sz w:val="24"/>
          <w:szCs w:val="24"/>
        </w:rPr>
        <w:t xml:space="preserve"> 3) To develop education materials l</w:t>
      </w:r>
      <w:r w:rsidR="00836C89">
        <w:rPr>
          <w:rFonts w:ascii="Times New Roman" w:hAnsi="Times New Roman" w:cs="Times New Roman"/>
          <w:sz w:val="24"/>
          <w:szCs w:val="24"/>
        </w:rPr>
        <w:t>isted within six</w:t>
      </w:r>
      <w:r w:rsidR="00A43D2B" w:rsidRPr="00A43D2B">
        <w:rPr>
          <w:rFonts w:ascii="Times New Roman" w:hAnsi="Times New Roman" w:cs="Times New Roman"/>
          <w:sz w:val="24"/>
          <w:szCs w:val="24"/>
        </w:rPr>
        <w:t xml:space="preserve"> months</w:t>
      </w:r>
      <w:r w:rsidR="00075D20">
        <w:rPr>
          <w:rFonts w:ascii="Times New Roman" w:hAnsi="Times New Roman" w:cs="Times New Roman"/>
          <w:sz w:val="24"/>
          <w:szCs w:val="24"/>
        </w:rPr>
        <w:t>;</w:t>
      </w:r>
      <w:r w:rsidR="00A43D2B" w:rsidRPr="00A43D2B">
        <w:rPr>
          <w:rFonts w:ascii="Times New Roman" w:hAnsi="Times New Roman" w:cs="Times New Roman"/>
          <w:sz w:val="24"/>
          <w:szCs w:val="24"/>
        </w:rPr>
        <w:t xml:space="preserve"> and 4) To develop a secure online training modules tailored to healthcare worker’s designations.</w:t>
      </w:r>
      <w:r>
        <w:rPr>
          <w:rFonts w:ascii="Times New Roman" w:hAnsi="Times New Roman" w:cs="Times New Roman"/>
          <w:sz w:val="24"/>
          <w:szCs w:val="24"/>
        </w:rPr>
        <w:t xml:space="preserve"> </w:t>
      </w:r>
      <w:r w:rsidRPr="006E1B0E">
        <w:rPr>
          <w:rFonts w:ascii="Times New Roman" w:hAnsi="Times New Roman" w:cs="Times New Roman"/>
          <w:sz w:val="24"/>
          <w:szCs w:val="24"/>
        </w:rPr>
        <w:t>Thi</w:t>
      </w:r>
      <w:r w:rsidR="00075D20">
        <w:rPr>
          <w:rFonts w:ascii="Times New Roman" w:hAnsi="Times New Roman" w:cs="Times New Roman"/>
          <w:sz w:val="24"/>
          <w:szCs w:val="24"/>
        </w:rPr>
        <w:t>s project will be divided into two</w:t>
      </w:r>
      <w:r w:rsidR="00506F71">
        <w:rPr>
          <w:rFonts w:ascii="Times New Roman" w:hAnsi="Times New Roman" w:cs="Times New Roman"/>
          <w:sz w:val="24"/>
          <w:szCs w:val="24"/>
        </w:rPr>
        <w:t xml:space="preserve"> phases which </w:t>
      </w:r>
      <w:r w:rsidRPr="006E1B0E">
        <w:rPr>
          <w:rFonts w:ascii="Times New Roman" w:hAnsi="Times New Roman" w:cs="Times New Roman"/>
          <w:sz w:val="24"/>
          <w:szCs w:val="24"/>
        </w:rPr>
        <w:t>will start with the Planning Phase and</w:t>
      </w:r>
      <w:r w:rsidR="007649F7">
        <w:rPr>
          <w:rFonts w:ascii="Times New Roman" w:hAnsi="Times New Roman" w:cs="Times New Roman"/>
          <w:sz w:val="24"/>
          <w:szCs w:val="24"/>
        </w:rPr>
        <w:t xml:space="preserve"> subsequently the </w:t>
      </w:r>
      <w:r w:rsidR="00253C3B">
        <w:rPr>
          <w:rFonts w:ascii="Times New Roman" w:hAnsi="Times New Roman" w:cs="Times New Roman"/>
          <w:sz w:val="24"/>
          <w:szCs w:val="24"/>
        </w:rPr>
        <w:t>Development</w:t>
      </w:r>
      <w:r w:rsidRPr="006E1B0E">
        <w:rPr>
          <w:rFonts w:ascii="Times New Roman" w:hAnsi="Times New Roman" w:cs="Times New Roman"/>
          <w:sz w:val="24"/>
          <w:szCs w:val="24"/>
        </w:rPr>
        <w:t xml:space="preserve"> Phase.</w:t>
      </w:r>
      <w:r>
        <w:rPr>
          <w:rFonts w:ascii="Times New Roman" w:hAnsi="Times New Roman" w:cs="Times New Roman"/>
          <w:sz w:val="24"/>
          <w:szCs w:val="24"/>
        </w:rPr>
        <w:t xml:space="preserve"> T</w:t>
      </w:r>
      <w:r w:rsidRPr="006E1B0E">
        <w:rPr>
          <w:rFonts w:ascii="Times New Roman" w:hAnsi="Times New Roman" w:cs="Times New Roman"/>
          <w:sz w:val="24"/>
          <w:szCs w:val="24"/>
        </w:rPr>
        <w:t>he</w:t>
      </w:r>
      <w:r>
        <w:rPr>
          <w:rFonts w:ascii="Times New Roman" w:hAnsi="Times New Roman" w:cs="Times New Roman"/>
          <w:sz w:val="24"/>
          <w:szCs w:val="24"/>
        </w:rPr>
        <w:t xml:space="preserve"> Planning Phase consist</w:t>
      </w:r>
      <w:r w:rsidRPr="006E1B0E">
        <w:rPr>
          <w:rFonts w:ascii="Times New Roman" w:hAnsi="Times New Roman" w:cs="Times New Roman"/>
          <w:sz w:val="24"/>
          <w:szCs w:val="24"/>
        </w:rPr>
        <w:t xml:space="preserve"> </w:t>
      </w:r>
      <w:r>
        <w:rPr>
          <w:rFonts w:ascii="Times New Roman" w:hAnsi="Times New Roman" w:cs="Times New Roman"/>
          <w:sz w:val="24"/>
          <w:szCs w:val="24"/>
        </w:rPr>
        <w:t xml:space="preserve">of </w:t>
      </w:r>
      <w:r w:rsidR="00836C89">
        <w:rPr>
          <w:rFonts w:ascii="Times New Roman" w:hAnsi="Times New Roman" w:cs="Times New Roman"/>
          <w:sz w:val="24"/>
          <w:szCs w:val="24"/>
        </w:rPr>
        <w:t>a two-</w:t>
      </w:r>
      <w:r w:rsidRPr="006E1B0E">
        <w:rPr>
          <w:rFonts w:ascii="Times New Roman" w:hAnsi="Times New Roman" w:cs="Times New Roman"/>
          <w:sz w:val="24"/>
          <w:szCs w:val="24"/>
        </w:rPr>
        <w:t>day workshop</w:t>
      </w:r>
      <w:r w:rsidR="00A43D2B">
        <w:rPr>
          <w:rFonts w:ascii="Times New Roman" w:hAnsi="Times New Roman" w:cs="Times New Roman"/>
          <w:sz w:val="24"/>
          <w:szCs w:val="24"/>
        </w:rPr>
        <w:t xml:space="preserve"> and the Development</w:t>
      </w:r>
      <w:r w:rsidRPr="006E1B0E">
        <w:rPr>
          <w:rFonts w:ascii="Times New Roman" w:hAnsi="Times New Roman" w:cs="Times New Roman"/>
          <w:sz w:val="24"/>
          <w:szCs w:val="24"/>
        </w:rPr>
        <w:t xml:space="preserve"> Phase is divided into 1) development of the education materials and 2) development to the training website</w:t>
      </w:r>
      <w:r w:rsidR="006F68EA">
        <w:rPr>
          <w:rFonts w:ascii="Times New Roman" w:hAnsi="Times New Roman" w:cs="Times New Roman"/>
          <w:sz w:val="24"/>
          <w:szCs w:val="24"/>
        </w:rPr>
        <w:t xml:space="preserve"> that will be done over a six</w:t>
      </w:r>
      <w:r w:rsidR="003413C0">
        <w:rPr>
          <w:rFonts w:ascii="Times New Roman" w:hAnsi="Times New Roman" w:cs="Times New Roman"/>
          <w:sz w:val="24"/>
          <w:szCs w:val="24"/>
        </w:rPr>
        <w:t>-month</w:t>
      </w:r>
      <w:r>
        <w:rPr>
          <w:rFonts w:ascii="Times New Roman" w:hAnsi="Times New Roman" w:cs="Times New Roman"/>
          <w:sz w:val="24"/>
          <w:szCs w:val="24"/>
        </w:rPr>
        <w:t xml:space="preserve"> period</w:t>
      </w:r>
      <w:r w:rsidRPr="006E1B0E">
        <w:rPr>
          <w:rFonts w:ascii="Times New Roman" w:hAnsi="Times New Roman" w:cs="Times New Roman"/>
          <w:sz w:val="24"/>
          <w:szCs w:val="24"/>
        </w:rPr>
        <w:t>.</w:t>
      </w:r>
      <w:r w:rsidR="00B07271">
        <w:rPr>
          <w:rFonts w:ascii="Times New Roman" w:hAnsi="Times New Roman" w:cs="Times New Roman"/>
          <w:sz w:val="24"/>
          <w:szCs w:val="24"/>
        </w:rPr>
        <w:t xml:space="preserve"> </w:t>
      </w:r>
      <w:r w:rsidR="00B07271" w:rsidRPr="00813DD0">
        <w:rPr>
          <w:rFonts w:ascii="Times New Roman" w:hAnsi="Times New Roman" w:cs="Times New Roman"/>
          <w:sz w:val="24"/>
          <w:szCs w:val="24"/>
        </w:rPr>
        <w:t>All the activities of this project are within the</w:t>
      </w:r>
      <w:r w:rsidR="00B07271">
        <w:rPr>
          <w:rFonts w:ascii="Times New Roman" w:hAnsi="Times New Roman" w:cs="Times New Roman"/>
          <w:sz w:val="24"/>
          <w:szCs w:val="24"/>
        </w:rPr>
        <w:t xml:space="preserve"> operations of MOH Malaysia, </w:t>
      </w:r>
      <w:r w:rsidR="00B07271" w:rsidRPr="00813DD0">
        <w:rPr>
          <w:rFonts w:ascii="Times New Roman" w:hAnsi="Times New Roman" w:cs="Times New Roman"/>
          <w:sz w:val="24"/>
          <w:szCs w:val="24"/>
        </w:rPr>
        <w:t xml:space="preserve">using </w:t>
      </w:r>
      <w:r w:rsidR="00B07271">
        <w:rPr>
          <w:rFonts w:ascii="Times New Roman" w:hAnsi="Times New Roman" w:cs="Times New Roman"/>
          <w:sz w:val="24"/>
          <w:szCs w:val="24"/>
        </w:rPr>
        <w:t xml:space="preserve">ispring </w:t>
      </w:r>
      <w:r w:rsidR="00B07271" w:rsidRPr="00813DD0">
        <w:rPr>
          <w:rFonts w:ascii="Times New Roman" w:hAnsi="Times New Roman" w:cs="Times New Roman"/>
          <w:sz w:val="24"/>
          <w:szCs w:val="24"/>
        </w:rPr>
        <w:t>application</w:t>
      </w:r>
      <w:r w:rsidR="00B07271">
        <w:rPr>
          <w:rFonts w:ascii="Times New Roman" w:hAnsi="Times New Roman" w:cs="Times New Roman"/>
          <w:sz w:val="24"/>
          <w:szCs w:val="24"/>
        </w:rPr>
        <w:t xml:space="preserve"> by subscription and do not involve the hiring of vendors.</w:t>
      </w:r>
    </w:p>
    <w:p w:rsidR="009B7F2B" w:rsidRPr="006E1B0E" w:rsidRDefault="009B7F2B" w:rsidP="007649F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project will improve the coverage of the user training of TPC-OHCIS that will improve the </w:t>
      </w:r>
      <w:r w:rsidR="00067385">
        <w:rPr>
          <w:rFonts w:ascii="Times New Roman" w:hAnsi="Times New Roman" w:cs="Times New Roman"/>
          <w:sz w:val="24"/>
          <w:szCs w:val="24"/>
        </w:rPr>
        <w:t xml:space="preserve">percentage of </w:t>
      </w:r>
      <w:r>
        <w:rPr>
          <w:rFonts w:ascii="Times New Roman" w:hAnsi="Times New Roman" w:cs="Times New Roman"/>
          <w:sz w:val="24"/>
          <w:szCs w:val="24"/>
        </w:rPr>
        <w:t xml:space="preserve">usage of TPC-OHCIS to deliver efficient primary healthcare to </w:t>
      </w:r>
      <w:r w:rsidR="00496274">
        <w:rPr>
          <w:rFonts w:ascii="Times New Roman" w:hAnsi="Times New Roman" w:cs="Times New Roman"/>
          <w:sz w:val="24"/>
          <w:szCs w:val="24"/>
        </w:rPr>
        <w:t>patients.</w:t>
      </w:r>
      <w:r w:rsidR="007649F7">
        <w:rPr>
          <w:rFonts w:ascii="Times New Roman" w:hAnsi="Times New Roman" w:cs="Times New Roman"/>
          <w:sz w:val="24"/>
          <w:szCs w:val="24"/>
        </w:rPr>
        <w:t xml:space="preserve"> Proper use of TPC-OHCIS is also a prerequisite for the functioning of the report generation from TPC-OHCIS. This will give more time for the healthcare worker to </w:t>
      </w:r>
      <w:r w:rsidR="00B07271">
        <w:rPr>
          <w:rFonts w:ascii="Times New Roman" w:hAnsi="Times New Roman" w:cs="Times New Roman"/>
          <w:sz w:val="24"/>
          <w:szCs w:val="24"/>
        </w:rPr>
        <w:t xml:space="preserve">focus on </w:t>
      </w:r>
      <w:r w:rsidR="007649F7">
        <w:rPr>
          <w:rFonts w:ascii="Times New Roman" w:hAnsi="Times New Roman" w:cs="Times New Roman"/>
          <w:sz w:val="24"/>
          <w:szCs w:val="24"/>
        </w:rPr>
        <w:t>deliver</w:t>
      </w:r>
      <w:r w:rsidR="00B07271">
        <w:rPr>
          <w:rFonts w:ascii="Times New Roman" w:hAnsi="Times New Roman" w:cs="Times New Roman"/>
          <w:sz w:val="24"/>
          <w:szCs w:val="24"/>
        </w:rPr>
        <w:t>ing</w:t>
      </w:r>
      <w:r w:rsidR="007649F7">
        <w:rPr>
          <w:rFonts w:ascii="Times New Roman" w:hAnsi="Times New Roman" w:cs="Times New Roman"/>
          <w:sz w:val="24"/>
          <w:szCs w:val="24"/>
        </w:rPr>
        <w:t xml:space="preserve"> quality health</w:t>
      </w:r>
      <w:r w:rsidR="00B07271">
        <w:rPr>
          <w:rFonts w:ascii="Times New Roman" w:hAnsi="Times New Roman" w:cs="Times New Roman"/>
          <w:sz w:val="24"/>
          <w:szCs w:val="24"/>
        </w:rPr>
        <w:t>care</w:t>
      </w:r>
      <w:r w:rsidR="007649F7">
        <w:rPr>
          <w:rFonts w:ascii="Times New Roman" w:hAnsi="Times New Roman" w:cs="Times New Roman"/>
          <w:sz w:val="24"/>
          <w:szCs w:val="24"/>
        </w:rPr>
        <w:t xml:space="preserve"> services and overall improve the image of MOH Malaysia.</w:t>
      </w:r>
    </w:p>
    <w:p w:rsidR="00484E3E" w:rsidRDefault="00484E3E" w:rsidP="00484E3E">
      <w:r>
        <w:br w:type="page"/>
      </w:r>
    </w:p>
    <w:p w:rsidR="00FD79B2" w:rsidRPr="00D6644C" w:rsidRDefault="001313E7" w:rsidP="002037E9">
      <w:pPr>
        <w:pStyle w:val="Heading1"/>
        <w:numPr>
          <w:ilvl w:val="0"/>
          <w:numId w:val="13"/>
        </w:numPr>
        <w:spacing w:before="0" w:after="240" w:line="360" w:lineRule="auto"/>
        <w:ind w:left="426"/>
        <w:rPr>
          <w:rFonts w:ascii="Times New Roman" w:hAnsi="Times New Roman" w:cs="Times New Roman"/>
          <w:b/>
          <w:color w:val="000000" w:themeColor="text1"/>
          <w:sz w:val="24"/>
          <w:szCs w:val="24"/>
        </w:rPr>
      </w:pPr>
      <w:bookmarkStart w:id="2" w:name="_Toc119880494"/>
      <w:r>
        <w:rPr>
          <w:rFonts w:ascii="Times New Roman" w:hAnsi="Times New Roman" w:cs="Times New Roman"/>
          <w:b/>
          <w:color w:val="000000" w:themeColor="text1"/>
          <w:sz w:val="24"/>
          <w:szCs w:val="24"/>
        </w:rPr>
        <w:lastRenderedPageBreak/>
        <w:t>Introduction</w:t>
      </w:r>
      <w:bookmarkEnd w:id="2"/>
    </w:p>
    <w:p w:rsidR="003362F4" w:rsidRDefault="00E07B29" w:rsidP="003362F4">
      <w:pPr>
        <w:spacing w:line="360" w:lineRule="auto"/>
        <w:jc w:val="both"/>
        <w:rPr>
          <w:rFonts w:ascii="Times New Roman" w:hAnsi="Times New Roman" w:cs="Times New Roman"/>
          <w:sz w:val="24"/>
          <w:szCs w:val="24"/>
        </w:rPr>
      </w:pPr>
      <w:r w:rsidRPr="003362F4">
        <w:rPr>
          <w:rFonts w:ascii="Times New Roman" w:hAnsi="Times New Roman" w:cs="Times New Roman"/>
          <w:sz w:val="24"/>
          <w:szCs w:val="24"/>
        </w:rPr>
        <w:t>Electronic Health Record</w:t>
      </w:r>
      <w:r w:rsidR="007851EC">
        <w:rPr>
          <w:rFonts w:ascii="Times New Roman" w:hAnsi="Times New Roman" w:cs="Times New Roman"/>
          <w:sz w:val="24"/>
          <w:szCs w:val="24"/>
        </w:rPr>
        <w:t xml:space="preserve"> (EHR</w:t>
      </w:r>
      <w:r>
        <w:rPr>
          <w:rFonts w:ascii="Times New Roman" w:hAnsi="Times New Roman" w:cs="Times New Roman"/>
          <w:sz w:val="24"/>
          <w:szCs w:val="24"/>
        </w:rPr>
        <w:t>)</w:t>
      </w:r>
      <w:r w:rsidR="003362F4" w:rsidRPr="00747008">
        <w:rPr>
          <w:rFonts w:ascii="Times New Roman" w:hAnsi="Times New Roman" w:cs="Times New Roman"/>
          <w:sz w:val="24"/>
          <w:szCs w:val="24"/>
        </w:rPr>
        <w:t xml:space="preserve"> </w:t>
      </w:r>
      <w:r w:rsidR="003362F4">
        <w:rPr>
          <w:rFonts w:ascii="Times New Roman" w:hAnsi="Times New Roman" w:cs="Times New Roman"/>
          <w:sz w:val="24"/>
          <w:szCs w:val="24"/>
        </w:rPr>
        <w:t xml:space="preserve">is an </w:t>
      </w:r>
      <w:r w:rsidR="003362F4" w:rsidRPr="00747008">
        <w:rPr>
          <w:rFonts w:ascii="Times New Roman" w:hAnsi="Times New Roman" w:cs="Times New Roman"/>
          <w:sz w:val="24"/>
          <w:szCs w:val="24"/>
        </w:rPr>
        <w:t>electronic record</w:t>
      </w:r>
      <w:r w:rsidR="003362F4">
        <w:rPr>
          <w:rFonts w:ascii="Times New Roman" w:hAnsi="Times New Roman" w:cs="Times New Roman"/>
          <w:sz w:val="24"/>
          <w:szCs w:val="24"/>
        </w:rPr>
        <w:t xml:space="preserve"> of healthcare information of an </w:t>
      </w:r>
      <w:r w:rsidR="003362F4" w:rsidRPr="00747008">
        <w:rPr>
          <w:rFonts w:ascii="Times New Roman" w:hAnsi="Times New Roman" w:cs="Times New Roman"/>
          <w:sz w:val="24"/>
          <w:szCs w:val="24"/>
        </w:rPr>
        <w:t xml:space="preserve">individual that conforms to </w:t>
      </w:r>
      <w:r w:rsidR="00C148D4">
        <w:rPr>
          <w:rFonts w:ascii="Times New Roman" w:hAnsi="Times New Roman" w:cs="Times New Roman"/>
          <w:sz w:val="24"/>
          <w:szCs w:val="24"/>
        </w:rPr>
        <w:t xml:space="preserve">the </w:t>
      </w:r>
      <w:r w:rsidR="003362F4" w:rsidRPr="00747008">
        <w:rPr>
          <w:rFonts w:ascii="Times New Roman" w:hAnsi="Times New Roman" w:cs="Times New Roman"/>
          <w:sz w:val="24"/>
          <w:szCs w:val="24"/>
        </w:rPr>
        <w:t>recommended in</w:t>
      </w:r>
      <w:r w:rsidR="003362F4">
        <w:rPr>
          <w:rFonts w:ascii="Times New Roman" w:hAnsi="Times New Roman" w:cs="Times New Roman"/>
          <w:sz w:val="24"/>
          <w:szCs w:val="24"/>
        </w:rPr>
        <w:t>teroperability standards for health</w:t>
      </w:r>
      <w:r w:rsidR="003362F4" w:rsidRPr="00747008">
        <w:rPr>
          <w:rFonts w:ascii="Times New Roman" w:hAnsi="Times New Roman" w:cs="Times New Roman"/>
          <w:sz w:val="24"/>
          <w:szCs w:val="24"/>
        </w:rPr>
        <w:t xml:space="preserve"> and that are created, managed, and consul</w:t>
      </w:r>
      <w:r w:rsidR="003362F4">
        <w:rPr>
          <w:rFonts w:ascii="Times New Roman" w:hAnsi="Times New Roman" w:cs="Times New Roman"/>
          <w:sz w:val="24"/>
          <w:szCs w:val="24"/>
        </w:rPr>
        <w:t>ted by authorized healthcare</w:t>
      </w:r>
      <w:r w:rsidR="003362F4" w:rsidRPr="00747008">
        <w:rPr>
          <w:rFonts w:ascii="Times New Roman" w:hAnsi="Times New Roman" w:cs="Times New Roman"/>
          <w:sz w:val="24"/>
          <w:szCs w:val="24"/>
        </w:rPr>
        <w:t xml:space="preserve"> staff across m</w:t>
      </w:r>
      <w:r w:rsidR="003362F4">
        <w:rPr>
          <w:rFonts w:ascii="Times New Roman" w:hAnsi="Times New Roman" w:cs="Times New Roman"/>
          <w:sz w:val="24"/>
          <w:szCs w:val="24"/>
        </w:rPr>
        <w:t xml:space="preserve">ultiple healthcare facilities. </w:t>
      </w:r>
      <w:r w:rsidR="003362F4">
        <w:rPr>
          <w:rFonts w:ascii="Times New Roman" w:hAnsi="Times New Roman" w:cs="Times New Roman"/>
          <w:sz w:val="24"/>
          <w:szCs w:val="24"/>
        </w:rPr>
        <w:fldChar w:fldCharType="begin" w:fldLock="1"/>
      </w:r>
      <w:r w:rsidR="003362F4">
        <w:rPr>
          <w:rFonts w:ascii="Times New Roman" w:hAnsi="Times New Roman" w:cs="Times New Roman"/>
          <w:sz w:val="24"/>
          <w:szCs w:val="24"/>
        </w:rPr>
        <w:instrText>ADDIN CSL_CITATION {"citationItems":[{"id":"ITEM-1","itemData":{"DOI":"10.1016/B978-0-12-814309-4.00003-3","ISBN":"9780128143094","abstract":"To have effective management of patients with optimal outcomes, the continuity of care requires that the longitudinal health record of the patient be available to healthcare providers in the full range of clinical settings that a patient may access. Besides history and examination, this digital longitudinal record needs to include treatment details and relevant lab results, including imaging data. The power of information technology (IT) allows electronic health records to have functionalities for clinical decision support, alerts, and triggers, which facilitate better interventions, leading to better outcomes. The information recorded and collated in these digital records is utilized to study trends and patterns through analytics, to provide insights into which interventions bring about better outcomes, not only at a population level but also at an individual level (precision medicine). This chapter details out the need for longitudinal records in telehealth, features and functionalities of EHRs and data exchange between them, acquisition and utilization of imaging and sound data, healthcare data analytics, and about alerts and triggers.","author":[{"dropping-particle":"","family":"Jacob","given":"Pramod David","non-dropping-particle":"","parse-names":false,"suffix":""}],"container-title":"Fundamentals of Telemedicine and Telehealth","id":"ITEM-1","issued":{"date-parts":[["2020","1","1"]]},"page":"35-57","publisher":"Academic Press","title":"Management of patient healthcare information: Healthcare-related information flow, access, and availability","type":"article-journal"},"uris":["http://www.mendeley.com/documents/?uuid=9dfb3d81-5cd5-30eb-aa4e-ee8f44c45ae3"]}],"mendeley":{"formattedCitation":"(Jacob, 2020)","plainTextFormattedCitation":"(Jacob, 2020)","previouslyFormattedCitation":"(Jacob, 2020)"},"properties":{"noteIndex":0},"schema":"https://github.com/citation-style-language/schema/raw/master/csl-citation.json"}</w:instrText>
      </w:r>
      <w:r w:rsidR="003362F4">
        <w:rPr>
          <w:rFonts w:ascii="Times New Roman" w:hAnsi="Times New Roman" w:cs="Times New Roman"/>
          <w:sz w:val="24"/>
          <w:szCs w:val="24"/>
        </w:rPr>
        <w:fldChar w:fldCharType="separate"/>
      </w:r>
      <w:r w:rsidR="003362F4" w:rsidRPr="00747008">
        <w:rPr>
          <w:rFonts w:ascii="Times New Roman" w:hAnsi="Times New Roman" w:cs="Times New Roman"/>
          <w:noProof/>
          <w:sz w:val="24"/>
          <w:szCs w:val="24"/>
        </w:rPr>
        <w:t>(Jacob, 2020)</w:t>
      </w:r>
      <w:r w:rsidR="003362F4">
        <w:rPr>
          <w:rFonts w:ascii="Times New Roman" w:hAnsi="Times New Roman" w:cs="Times New Roman"/>
          <w:sz w:val="24"/>
          <w:szCs w:val="24"/>
        </w:rPr>
        <w:fldChar w:fldCharType="end"/>
      </w:r>
      <w:r w:rsidR="003362F4" w:rsidRPr="00A83005">
        <w:rPr>
          <w:rFonts w:ascii="Times New Roman" w:hAnsi="Times New Roman" w:cs="Times New Roman"/>
          <w:sz w:val="24"/>
          <w:szCs w:val="24"/>
        </w:rPr>
        <w:t xml:space="preserve">. </w:t>
      </w:r>
      <w:r w:rsidR="003362F4">
        <w:rPr>
          <w:rFonts w:ascii="Times New Roman" w:hAnsi="Times New Roman" w:cs="Times New Roman"/>
          <w:sz w:val="24"/>
          <w:szCs w:val="24"/>
        </w:rPr>
        <w:t>The Malaysian government</w:t>
      </w:r>
      <w:r w:rsidR="00903C56">
        <w:rPr>
          <w:rFonts w:ascii="Times New Roman" w:hAnsi="Times New Roman" w:cs="Times New Roman"/>
          <w:sz w:val="24"/>
          <w:szCs w:val="24"/>
        </w:rPr>
        <w:t xml:space="preserve"> has</w:t>
      </w:r>
      <w:r w:rsidR="003362F4">
        <w:rPr>
          <w:rFonts w:ascii="Times New Roman" w:hAnsi="Times New Roman" w:cs="Times New Roman"/>
          <w:sz w:val="24"/>
          <w:szCs w:val="24"/>
        </w:rPr>
        <w:t xml:space="preserve"> </w:t>
      </w:r>
      <w:r w:rsidR="00903C56">
        <w:rPr>
          <w:rFonts w:ascii="Times New Roman" w:hAnsi="Times New Roman" w:cs="Times New Roman"/>
          <w:sz w:val="24"/>
          <w:szCs w:val="24"/>
        </w:rPr>
        <w:t>digitalized</w:t>
      </w:r>
      <w:r w:rsidR="003362F4" w:rsidRPr="00512CC1">
        <w:rPr>
          <w:rFonts w:ascii="Times New Roman" w:hAnsi="Times New Roman" w:cs="Times New Roman"/>
          <w:sz w:val="24"/>
          <w:szCs w:val="24"/>
        </w:rPr>
        <w:t xml:space="preserve"> in </w:t>
      </w:r>
      <w:r w:rsidR="00903C56">
        <w:rPr>
          <w:rFonts w:ascii="Times New Roman" w:hAnsi="Times New Roman" w:cs="Times New Roman"/>
          <w:sz w:val="24"/>
          <w:szCs w:val="24"/>
        </w:rPr>
        <w:t xml:space="preserve">its </w:t>
      </w:r>
      <w:r w:rsidR="002867F0">
        <w:rPr>
          <w:rFonts w:ascii="Times New Roman" w:hAnsi="Times New Roman" w:cs="Times New Roman"/>
          <w:sz w:val="24"/>
          <w:szCs w:val="24"/>
        </w:rPr>
        <w:t xml:space="preserve">health clinics through </w:t>
      </w:r>
      <w:r w:rsidR="003362F4" w:rsidRPr="00512CC1">
        <w:rPr>
          <w:rFonts w:ascii="Times New Roman" w:hAnsi="Times New Roman" w:cs="Times New Roman"/>
          <w:sz w:val="24"/>
          <w:szCs w:val="24"/>
        </w:rPr>
        <w:t xml:space="preserve"> </w:t>
      </w:r>
      <w:r w:rsidR="00A644F5">
        <w:rPr>
          <w:rFonts w:ascii="Times New Roman" w:hAnsi="Times New Roman" w:cs="Times New Roman"/>
          <w:sz w:val="24"/>
          <w:szCs w:val="24"/>
        </w:rPr>
        <w:t>its EHR</w:t>
      </w:r>
      <w:r w:rsidR="003362F4">
        <w:rPr>
          <w:rFonts w:ascii="Times New Roman" w:hAnsi="Times New Roman" w:cs="Times New Roman"/>
          <w:sz w:val="24"/>
          <w:szCs w:val="24"/>
        </w:rPr>
        <w:t xml:space="preserve"> named </w:t>
      </w:r>
      <w:r w:rsidR="00A9148F">
        <w:rPr>
          <w:rFonts w:ascii="Times New Roman" w:hAnsi="Times New Roman" w:cs="Times New Roman"/>
          <w:sz w:val="24"/>
          <w:szCs w:val="24"/>
        </w:rPr>
        <w:t>Teleprimary Care</w:t>
      </w:r>
      <w:r w:rsidR="003362F4" w:rsidRPr="00512CC1">
        <w:rPr>
          <w:rFonts w:ascii="Times New Roman" w:hAnsi="Times New Roman" w:cs="Times New Roman"/>
          <w:sz w:val="24"/>
          <w:szCs w:val="24"/>
        </w:rPr>
        <w:t xml:space="preserve"> system in 2005 </w:t>
      </w:r>
      <w:r w:rsidR="003362F4">
        <w:rPr>
          <w:rFonts w:ascii="Times New Roman" w:hAnsi="Times New Roman" w:cs="Times New Roman"/>
          <w:sz w:val="24"/>
          <w:szCs w:val="24"/>
        </w:rPr>
        <w:t xml:space="preserve">and </w:t>
      </w:r>
      <w:r w:rsidR="00196A91">
        <w:rPr>
          <w:rFonts w:ascii="Times New Roman" w:hAnsi="Times New Roman" w:cs="Times New Roman"/>
          <w:sz w:val="24"/>
          <w:szCs w:val="24"/>
        </w:rPr>
        <w:t xml:space="preserve">upgraded to </w:t>
      </w:r>
      <w:r w:rsidR="003362F4" w:rsidRPr="00512CC1">
        <w:rPr>
          <w:rFonts w:ascii="Times New Roman" w:hAnsi="Times New Roman" w:cs="Times New Roman"/>
          <w:sz w:val="24"/>
          <w:szCs w:val="24"/>
        </w:rPr>
        <w:t>Teleprimary Care – Oral Health Clinical Information System (TPC-OHCIS) in 2017</w:t>
      </w:r>
      <w:r w:rsidR="00A644F5">
        <w:rPr>
          <w:rFonts w:ascii="Times New Roman" w:hAnsi="Times New Roman" w:cs="Times New Roman"/>
          <w:sz w:val="24"/>
          <w:szCs w:val="24"/>
        </w:rPr>
        <w:t>. Currently,</w:t>
      </w:r>
      <w:r w:rsidR="003362F4">
        <w:rPr>
          <w:rFonts w:ascii="Times New Roman" w:hAnsi="Times New Roman" w:cs="Times New Roman"/>
          <w:sz w:val="24"/>
          <w:szCs w:val="24"/>
        </w:rPr>
        <w:t xml:space="preserve"> 102 government he</w:t>
      </w:r>
      <w:r w:rsidR="00903C56">
        <w:rPr>
          <w:rFonts w:ascii="Times New Roman" w:hAnsi="Times New Roman" w:cs="Times New Roman"/>
          <w:sz w:val="24"/>
          <w:szCs w:val="24"/>
        </w:rPr>
        <w:t>alth clinics</w:t>
      </w:r>
      <w:r w:rsidR="00CC6831">
        <w:rPr>
          <w:rFonts w:ascii="Times New Roman" w:hAnsi="Times New Roman" w:cs="Times New Roman"/>
          <w:sz w:val="24"/>
          <w:szCs w:val="24"/>
        </w:rPr>
        <w:t xml:space="preserve"> has TPC-OHCIS</w:t>
      </w:r>
      <w:r w:rsidR="003362F4">
        <w:rPr>
          <w:rFonts w:ascii="Times New Roman" w:hAnsi="Times New Roman" w:cs="Times New Roman"/>
          <w:sz w:val="24"/>
          <w:szCs w:val="24"/>
        </w:rPr>
        <w:t>.</w:t>
      </w:r>
      <w:r w:rsidR="00A2795A">
        <w:rPr>
          <w:rFonts w:ascii="Times New Roman" w:hAnsi="Times New Roman" w:cs="Times New Roman"/>
          <w:sz w:val="24"/>
          <w:szCs w:val="24"/>
        </w:rPr>
        <w:t xml:space="preserve"> </w:t>
      </w:r>
      <w:r w:rsidR="006E792B">
        <w:rPr>
          <w:rFonts w:ascii="Times New Roman" w:hAnsi="Times New Roman" w:cs="Times New Roman"/>
          <w:sz w:val="24"/>
          <w:szCs w:val="24"/>
        </w:rPr>
        <w:t>It</w:t>
      </w:r>
      <w:r w:rsidR="003362F4">
        <w:rPr>
          <w:rFonts w:ascii="Times New Roman" w:hAnsi="Times New Roman" w:cs="Times New Roman"/>
          <w:sz w:val="24"/>
          <w:szCs w:val="24"/>
        </w:rPr>
        <w:t xml:space="preserve"> is</w:t>
      </w:r>
      <w:r w:rsidR="00613270">
        <w:rPr>
          <w:rFonts w:ascii="Times New Roman" w:hAnsi="Times New Roman" w:cs="Times New Roman"/>
          <w:sz w:val="24"/>
          <w:szCs w:val="24"/>
        </w:rPr>
        <w:t xml:space="preserve"> a cloud-based</w:t>
      </w:r>
      <w:r w:rsidR="003362F4">
        <w:rPr>
          <w:rFonts w:ascii="Times New Roman" w:hAnsi="Times New Roman" w:cs="Times New Roman"/>
          <w:sz w:val="24"/>
          <w:szCs w:val="24"/>
        </w:rPr>
        <w:t xml:space="preserve"> </w:t>
      </w:r>
      <w:r w:rsidR="003362F4" w:rsidRPr="00512CC1">
        <w:rPr>
          <w:rFonts w:ascii="Times New Roman" w:hAnsi="Times New Roman" w:cs="Times New Roman"/>
          <w:sz w:val="24"/>
          <w:szCs w:val="24"/>
        </w:rPr>
        <w:t xml:space="preserve">system </w:t>
      </w:r>
      <w:r w:rsidR="006315CA">
        <w:rPr>
          <w:rFonts w:ascii="Times New Roman" w:hAnsi="Times New Roman" w:cs="Times New Roman"/>
          <w:sz w:val="24"/>
          <w:szCs w:val="24"/>
        </w:rPr>
        <w:t>with</w:t>
      </w:r>
      <w:r w:rsidR="003362F4" w:rsidRPr="00512CC1">
        <w:rPr>
          <w:rFonts w:ascii="Times New Roman" w:hAnsi="Times New Roman" w:cs="Times New Roman"/>
          <w:sz w:val="24"/>
          <w:szCs w:val="24"/>
        </w:rPr>
        <w:t xml:space="preserve"> a centralized database.</w:t>
      </w:r>
      <w:r w:rsidR="003362F4">
        <w:rPr>
          <w:rFonts w:ascii="Times New Roman" w:hAnsi="Times New Roman" w:cs="Times New Roman"/>
          <w:sz w:val="24"/>
          <w:szCs w:val="24"/>
        </w:rPr>
        <w:t xml:space="preserve"> </w:t>
      </w:r>
      <w:r w:rsidR="00A644F5">
        <w:rPr>
          <w:rFonts w:ascii="Times New Roman" w:hAnsi="Times New Roman" w:cs="Times New Roman"/>
          <w:sz w:val="24"/>
          <w:szCs w:val="24"/>
        </w:rPr>
        <w:t>Its users</w:t>
      </w:r>
      <w:r w:rsidR="003362F4">
        <w:rPr>
          <w:rFonts w:ascii="Times New Roman" w:hAnsi="Times New Roman" w:cs="Times New Roman"/>
          <w:sz w:val="24"/>
          <w:szCs w:val="24"/>
        </w:rPr>
        <w:t xml:space="preserve"> are end-to-end of</w:t>
      </w:r>
      <w:r w:rsidR="00A644F5">
        <w:rPr>
          <w:rFonts w:ascii="Times New Roman" w:hAnsi="Times New Roman" w:cs="Times New Roman"/>
          <w:sz w:val="24"/>
          <w:szCs w:val="24"/>
        </w:rPr>
        <w:t xml:space="preserve"> the primary healthcare service</w:t>
      </w:r>
      <w:r w:rsidR="003362F4">
        <w:rPr>
          <w:rFonts w:ascii="Times New Roman" w:hAnsi="Times New Roman" w:cs="Times New Roman"/>
          <w:sz w:val="24"/>
          <w:szCs w:val="24"/>
        </w:rPr>
        <w:t xml:space="preserve"> which include</w:t>
      </w:r>
      <w:r w:rsidR="007851EC">
        <w:rPr>
          <w:rFonts w:ascii="Times New Roman" w:hAnsi="Times New Roman" w:cs="Times New Roman"/>
          <w:sz w:val="24"/>
          <w:szCs w:val="24"/>
        </w:rPr>
        <w:t>s</w:t>
      </w:r>
      <w:r w:rsidR="003362F4">
        <w:rPr>
          <w:rFonts w:ascii="Times New Roman" w:hAnsi="Times New Roman" w:cs="Times New Roman"/>
          <w:sz w:val="24"/>
          <w:szCs w:val="24"/>
        </w:rPr>
        <w:t xml:space="preserve"> multiple ca</w:t>
      </w:r>
      <w:r w:rsidR="007851EC">
        <w:rPr>
          <w:rFonts w:ascii="Times New Roman" w:hAnsi="Times New Roman" w:cs="Times New Roman"/>
          <w:sz w:val="24"/>
          <w:szCs w:val="24"/>
        </w:rPr>
        <w:t>tegories of healthcare workers with each of them having</w:t>
      </w:r>
      <w:r w:rsidR="003362F4">
        <w:rPr>
          <w:rFonts w:ascii="Times New Roman" w:hAnsi="Times New Roman" w:cs="Times New Roman"/>
          <w:sz w:val="24"/>
          <w:szCs w:val="24"/>
        </w:rPr>
        <w:t xml:space="preserve"> their specific set of functions</w:t>
      </w:r>
      <w:r w:rsidR="00454ABC">
        <w:rPr>
          <w:rFonts w:ascii="Times New Roman" w:hAnsi="Times New Roman" w:cs="Times New Roman"/>
          <w:sz w:val="24"/>
          <w:szCs w:val="24"/>
        </w:rPr>
        <w:t xml:space="preserve"> (</w:t>
      </w:r>
      <w:r w:rsidR="00C148D4">
        <w:rPr>
          <w:rFonts w:ascii="Times New Roman" w:hAnsi="Times New Roman" w:cs="Times New Roman"/>
          <w:sz w:val="24"/>
          <w:szCs w:val="24"/>
        </w:rPr>
        <w:t>Annex</w:t>
      </w:r>
      <w:r w:rsidR="00454ABC">
        <w:rPr>
          <w:rFonts w:ascii="Times New Roman" w:hAnsi="Times New Roman" w:cs="Times New Roman"/>
          <w:sz w:val="24"/>
          <w:szCs w:val="24"/>
        </w:rPr>
        <w:t xml:space="preserve"> 1)</w:t>
      </w:r>
      <w:r w:rsidR="003362F4">
        <w:rPr>
          <w:rFonts w:ascii="Times New Roman" w:hAnsi="Times New Roman" w:cs="Times New Roman"/>
          <w:sz w:val="24"/>
          <w:szCs w:val="24"/>
        </w:rPr>
        <w:t>.</w:t>
      </w:r>
      <w:r w:rsidR="00FE6970">
        <w:rPr>
          <w:rFonts w:ascii="Times New Roman" w:hAnsi="Times New Roman" w:cs="Times New Roman"/>
          <w:sz w:val="24"/>
          <w:szCs w:val="24"/>
        </w:rPr>
        <w:t xml:space="preserve"> Currently, the average </w:t>
      </w:r>
      <w:r w:rsidR="00FE6970" w:rsidRPr="00FE6970">
        <w:rPr>
          <w:rFonts w:ascii="Times New Roman" w:hAnsi="Times New Roman" w:cs="Times New Roman"/>
          <w:sz w:val="24"/>
          <w:szCs w:val="24"/>
        </w:rPr>
        <w:t>percentage of usage of the TPC-OHCIS</w:t>
      </w:r>
      <w:r w:rsidR="00C148D4">
        <w:rPr>
          <w:rFonts w:ascii="Times New Roman" w:hAnsi="Times New Roman" w:cs="Times New Roman"/>
          <w:sz w:val="24"/>
          <w:szCs w:val="24"/>
        </w:rPr>
        <w:t xml:space="preserve"> in states is</w:t>
      </w:r>
      <w:r w:rsidR="00FE6970">
        <w:rPr>
          <w:rFonts w:ascii="Times New Roman" w:hAnsi="Times New Roman" w:cs="Times New Roman"/>
          <w:sz w:val="24"/>
          <w:szCs w:val="24"/>
        </w:rPr>
        <w:t xml:space="preserve"> between 50% to 80%.</w:t>
      </w:r>
    </w:p>
    <w:p w:rsidR="003D3414" w:rsidRPr="00D6644C" w:rsidRDefault="00E07B29" w:rsidP="002037E9">
      <w:pPr>
        <w:pStyle w:val="Heading1"/>
        <w:numPr>
          <w:ilvl w:val="0"/>
          <w:numId w:val="13"/>
        </w:numPr>
        <w:ind w:left="426"/>
        <w:rPr>
          <w:rFonts w:ascii="Times New Roman" w:hAnsi="Times New Roman" w:cs="Times New Roman"/>
          <w:b/>
          <w:color w:val="000000" w:themeColor="text1"/>
          <w:sz w:val="24"/>
          <w:szCs w:val="24"/>
        </w:rPr>
      </w:pPr>
      <w:bookmarkStart w:id="3" w:name="_Toc119880495"/>
      <w:r w:rsidRPr="00D6644C">
        <w:rPr>
          <w:rFonts w:ascii="Times New Roman" w:hAnsi="Times New Roman" w:cs="Times New Roman"/>
          <w:b/>
          <w:color w:val="000000" w:themeColor="text1"/>
          <w:sz w:val="24"/>
          <w:szCs w:val="24"/>
        </w:rPr>
        <w:t>Rationale</w:t>
      </w:r>
      <w:bookmarkEnd w:id="3"/>
    </w:p>
    <w:p w:rsidR="00816946" w:rsidRPr="00816946" w:rsidRDefault="00816946" w:rsidP="00816946">
      <w:pPr>
        <w:spacing w:after="0"/>
      </w:pPr>
    </w:p>
    <w:p w:rsidR="00E07B29" w:rsidRPr="003362F4" w:rsidRDefault="003362F4" w:rsidP="00E07B29">
      <w:pPr>
        <w:spacing w:line="360" w:lineRule="auto"/>
        <w:jc w:val="both"/>
        <w:rPr>
          <w:rFonts w:ascii="Times New Roman" w:hAnsi="Times New Roman" w:cs="Times New Roman"/>
          <w:sz w:val="24"/>
          <w:szCs w:val="24"/>
        </w:rPr>
      </w:pPr>
      <w:r>
        <w:rPr>
          <w:rFonts w:ascii="Times New Roman" w:hAnsi="Times New Roman" w:cs="Times New Roman"/>
          <w:sz w:val="24"/>
          <w:szCs w:val="24"/>
        </w:rPr>
        <w:t>Change manag</w:t>
      </w:r>
      <w:r w:rsidR="00882F69">
        <w:rPr>
          <w:rFonts w:ascii="Times New Roman" w:hAnsi="Times New Roman" w:cs="Times New Roman"/>
          <w:sz w:val="24"/>
          <w:szCs w:val="24"/>
        </w:rPr>
        <w:t>ement for</w:t>
      </w:r>
      <w:r w:rsidR="00A9148F">
        <w:rPr>
          <w:rFonts w:ascii="Times New Roman" w:hAnsi="Times New Roman" w:cs="Times New Roman"/>
          <w:sz w:val="24"/>
          <w:szCs w:val="24"/>
        </w:rPr>
        <w:t xml:space="preserve"> EHR has</w:t>
      </w:r>
      <w:r>
        <w:rPr>
          <w:rFonts w:ascii="Times New Roman" w:hAnsi="Times New Roman" w:cs="Times New Roman"/>
          <w:sz w:val="24"/>
          <w:szCs w:val="24"/>
        </w:rPr>
        <w:t xml:space="preserve"> multiple barriers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{"citationItems":[{"id":"ITEM-1","itemData":{"DOI":"10.4338/ACI-2010-01-R-0001","ISBN":"6305753237","abstract":"Change is difficult and managing change even more so. With the advent of Electronic Medical Records (EMRs) and the difficulty of its acceptance, understanding physician's attitudes and the psychology of change management is imperative. While many authors describe change management theories, one comes nearest to describing this particularly difficult transition. In 1969, Elizabeth Kübler-Ross wrote her seminal treatise, On Death and Dying, detailing the psychological changes terminally ill patients undergo. Her grieving model is a template to examine the impact of change. By following a physician through the EMR maze, understanding the difficulties he/she perceives and developing a plan other change agents are able to use, the paper gives practical recommendations to EMR change management .","author":[{"dropping-particle":"","family":"Shoolin JS","given":"","non-dropping-particle":"","parse-names":false,"suffix":""}],"container-title":"Applied Clinical Informatics","id":"ITEM-1","issue":"3","issued":{"date-parts":[["2010"]]},"page":"286-292","title":"Change management–Recommendations for successful electronic medical records implementation","type":"article-journal","volume":"1"},"uris":["http://www.mendeley.com/documents/?uuid=36321b21-f1f9-331b-a80a-e93715d17c42"]}],"mendeley":{"formattedCitation":"(Shoolin JS, 2010)","plainTextFormattedCitation":"(Shoolin JS, 2010)","previouslyFormattedCitation":"(Shoolin JS, 2010)"},"properties":{"noteIndex":0},"schema":"https://github.com/citation-style-language/schema/raw/master/csl-citation.json"}</w:instrText>
      </w:r>
      <w:r>
        <w:rPr>
          <w:rFonts w:ascii="Times New Roman" w:hAnsi="Times New Roman" w:cs="Times New Roman"/>
          <w:sz w:val="24"/>
          <w:szCs w:val="24"/>
        </w:rPr>
        <w:fldChar w:fldCharType="separate"/>
      </w:r>
      <w:r w:rsidR="000D7A90">
        <w:rPr>
          <w:rFonts w:ascii="Times New Roman" w:hAnsi="Times New Roman" w:cs="Times New Roman"/>
          <w:noProof/>
          <w:sz w:val="24"/>
          <w:szCs w:val="24"/>
        </w:rPr>
        <w:t>(Shoolin</w:t>
      </w:r>
      <w:r w:rsidRPr="00C22120">
        <w:rPr>
          <w:rFonts w:ascii="Times New Roman" w:hAnsi="Times New Roman" w:cs="Times New Roman"/>
          <w:noProof/>
          <w:sz w:val="24"/>
          <w:szCs w:val="24"/>
        </w:rPr>
        <w:t>, 2010)</w:t>
      </w:r>
      <w:r>
        <w:rPr>
          <w:rFonts w:ascii="Times New Roman" w:hAnsi="Times New Roman" w:cs="Times New Roman"/>
          <w:sz w:val="24"/>
          <w:szCs w:val="24"/>
        </w:rPr>
        <w:fldChar w:fldCharType="end"/>
      </w:r>
      <w:r>
        <w:rPr>
          <w:rFonts w:ascii="Times New Roman" w:hAnsi="Times New Roman" w:cs="Times New Roman"/>
          <w:sz w:val="24"/>
          <w:szCs w:val="24"/>
        </w:rPr>
        <w:t xml:space="preserve">. Lack of </w:t>
      </w:r>
      <w:r w:rsidR="007114E3">
        <w:rPr>
          <w:rFonts w:ascii="Times New Roman" w:hAnsi="Times New Roman" w:cs="Times New Roman"/>
          <w:sz w:val="24"/>
          <w:szCs w:val="24"/>
        </w:rPr>
        <w:t xml:space="preserve">EHR </w:t>
      </w:r>
      <w:r>
        <w:rPr>
          <w:rFonts w:ascii="Times New Roman" w:hAnsi="Times New Roman" w:cs="Times New Roman"/>
          <w:sz w:val="24"/>
          <w:szCs w:val="24"/>
        </w:rPr>
        <w:t xml:space="preserve">user training is a known change management barrier for </w:t>
      </w:r>
      <w:r w:rsidR="0033653B">
        <w:rPr>
          <w:rFonts w:ascii="Times New Roman" w:hAnsi="Times New Roman" w:cs="Times New Roman"/>
          <w:sz w:val="24"/>
          <w:szCs w:val="24"/>
        </w:rPr>
        <w:t xml:space="preserve">the </w:t>
      </w:r>
      <w:r w:rsidRPr="00DE46FB">
        <w:rPr>
          <w:rFonts w:ascii="Times New Roman" w:hAnsi="Times New Roman" w:cs="Times New Roman"/>
          <w:sz w:val="24"/>
          <w:szCs w:val="24"/>
        </w:rPr>
        <w:t xml:space="preserve">acceptance of </w:t>
      </w:r>
      <w:r>
        <w:rPr>
          <w:rFonts w:ascii="Times New Roman" w:hAnsi="Times New Roman" w:cs="Times New Roman"/>
          <w:sz w:val="24"/>
          <w:szCs w:val="24"/>
        </w:rPr>
        <w:t xml:space="preserve">EHR by </w:t>
      </w:r>
      <w:r w:rsidR="0033653B">
        <w:rPr>
          <w:rFonts w:ascii="Times New Roman" w:hAnsi="Times New Roman" w:cs="Times New Roman"/>
          <w:sz w:val="24"/>
          <w:szCs w:val="24"/>
        </w:rPr>
        <w:t xml:space="preserve">the </w:t>
      </w:r>
      <w:r>
        <w:rPr>
          <w:rFonts w:ascii="Times New Roman" w:hAnsi="Times New Roman" w:cs="Times New Roman"/>
          <w:sz w:val="24"/>
          <w:szCs w:val="24"/>
        </w:rPr>
        <w:t xml:space="preserve">healthcare workers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{"citationItems":[{"id":"ITEM-1","itemData":{"DOI":"10.1111/J.1365-2753.2008.00975.X","ISSN":"1365-2753","PMID":"18759752","abstract":"Objectives : Electronic health records (EHRs) are a promising tool to improve the quality of health care, although it remains unclear who will benefit from this new technology. Given that a small group of providers care for most racial/ethnic minorities, we sought to determine whether minority-serving providers adopt EHR systems at comparable rates to other providers. Methods : We used survey data from stratified random sample of all medical practices in Massachusetts in 2005. We determined rates of EHR adoption, perceived barriers to adoption, and satisfaction with EHR systems. Results : Physicians who reported patient panels of more than 40% black or Hispanic had comparable levels of EHR adoption than other physicians (27.9% and 21.8%, respectively, P = 0.46). Physicians from minority-serving practices identified financial and other barriers to implementing EHR systems at similar rates, although these physicians were less likely to be concerned with privacy and security concerns of EHRs (47.1% vs. 64.4%, P = 0.01). Finally, physicians from high-minority practices had similar perceptions about the positive impact of EHRs on quality (73.7% vs. 76.6%, P = 0.43) and costs (46.9% vs. 51.5%, P = 0.17) of care. Conclusions : In a state with a diverse minority population, we found no evidence that minority-serving providers had lower EHR adoption rates, faced different barriers to adoption or were less satisfied with EHRs. Given the importance of ensuring that minority-serving providers have equal access to EHR systems, we failed to find evidence of a new digital divide. © 2008 Blackwell Publishing Ltd.","author":[{"dropping-particle":"","family":"Jha","given":"Ashish K.","non-dropping-particle":"","parse-names":false,"suffix":""},{"dropping-particle":"","family":"Bates","given":"David W.","non-dropping-particle":"","parse-names":false,"suffix":""},{"dropping-particle":"","family":"Jenter","given":"Chelsea","non-dropping-particle":"","parse-names":false,"suffix":""},{"dropping-particle":"","family":"Orav","given":"E. John","non-dropping-particle":"","parse-names":false,"suffix":""},{"dropping-particle":"","family":"Zheng","given":"Jie","non-dropping-particle":"","parse-names":false,"suffix":""},{"dropping-particle":"","family":"Cleary","given":"Paul","non-dropping-particle":"","parse-names":false,"suffix":""},{"dropping-particle":"","family":"Simon","given":"Steven R.","non-dropping-particle":"","parse-names":false,"suffix":""}],"container-title":"Journal of evaluation in clinical practice","id":"ITEM-1","issue":"1","issued":{"date-parts":[["2009","2"]]},"page":"158-163","publisher":"J Eval Clin Pract","title":"Electronic health records: use, barriers and satisfaction among physicians who care for black and Hispanic patients","type":"article-journal","volume":"15"},"uris":["http://www.mendeley.com/documents/?uuid=102431bc-eef2-30e1-ad95-e5e820889e07"]},{"id":"ITEM-2","itemData":{"DOI":"10.1016/J.IJMEDINF.2009.03.004","ISSN":"1872-8243","PMID":"19375381","abstract":"Background: The use of electronic patient records (EPR) by Irish GPs has grown substantially over the past decade but a significant number of GPs continue to use manual record systems. Objectives: This study attempts to determine the factors which affect the uptake of an EPR by Irish GPs. Methods and materials: Two national postal surveys of Irish General Practitioners (GPs) were carried out in 2000 and again in 2003. Response rates were 69% (n = 1543) and 60% (n = 1408), respectively. Results: The data collected reveal that electronic patient records are in widespread use among Irish general practitioners. Furthermore the study shows that the use of electronic patient records for common clinical and administrative tasks is increasing. Comparative analysis of the data revealed statistically significant differences between subgroups of responders. GPs were more likely to use an EPR for clinical tasks if they were young and male. GPs in group practice and GPs with mostly state-funded patient lists were more likely to use an EPR as were GPs in rural locations. Much higher use of an EPR for clinical tasks was found among GPs who were involved in the training of newly qualified GPs. The most significant perceived barrier preventing GPs migrating from manual to electronic records was \"lack of time\". While lack of financial resources and absence of computer skills were also perceived as barriers, these were found to be less significant. Discussion: While the increasing use of an EPR among younger GPs was expected, the lower usage among female GPs and those in urban locations was not and has not been previously reported. The data has important implications for the planned roll out of electronic patient records as outlined in Ireland's National Health Information Strategy. © 2009 Elsevier Ireland Ltd. All rights reserved.","author":[{"dropping-particle":"","family":"Meade","given":"Brian","non-dropping-particle":"","parse-names":false,"suffix":""},{"dropping-particle":"","family":"Buckley","given":"Donal","non-dropping-particle":"","parse-names":false,"suffix":""},{"dropping-particle":"","family":"Boland","given":"Michael","non-dropping-particle":"","parse-names":false,"suffix":""}],"container-title":"International journal of medical informatics","id":"ITEM-2","issue":"8","issued":{"date-parts":[["2009","8"]]},"page":"551-558","publisher":"Int J Med Inform","title":"What factors affect the use of electronic patient records by Irish GPs?","type":"article-journal","volume":"78"},"uris":["http://www.mendeley.com/documents/?uuid=49fc6fa2-3d55-31f4-910c-30d5ceb04aa1"]},{"id":"ITEM-3","itemData":{"DOI":"10.1155/2009/853524","ISSN":"1687-6415","PMID":"19081787","abstract":"Our aging population has exacerbated strong and divergent trends between health human resource supply and demand. One way to mitigate future inequities is through the adoption of health information technology (HIT). Our previous research showed a number of risks and mitigating factors which affected HIT implementation success. We confirmed these findings through semistructured interviews with nine Alberta clinics. Sociotechnical factors significantly affected physicians' implementation success. Physicians reported that the time constraints limited their willingness to investigate, procure, and implement an EMR. The combination of antiquated exam room design, complex HIT user interfaces, insufficient physician computer skills, and the urgency in patient encounters precipitated by a fee-for-service remuneration model and long waitlists compromised the quantity, if not the quality, of the information exchange. Alternative remuneration and access to services plans might be considered to drive prudent behavior during physician office system implementation. Copyright © 2009 D. A. Ludwick and J. Doucette.","author":[{"dropping-particle":"","family":"Ludwick","given":"D. A.","non-dropping-particle":"","parse-names":false,"suffix":""},{"dropping-particle":"","family":"Doucette","given":"John","non-dropping-particle":"","parse-names":false,"suffix":""}],"container-title":"International journal of telemedicine and applications","id":"ITEM-3","issued":{"date-parts":[["2009"]]},"publisher":"Int J Telemed Appl","title":"Primary Care Physicians' Experience with Electronic Medical Records: Barriers to Implementation in a Fee-for-Service Environment","type":"article-journal","volume":"2009"},"uris":["http://www.mendeley.com/documents/?uuid=7f825cbd-5ab4-3b6f-8a0f-ef4aff077022"]}],"mendeley":{"formattedCitation":"(Jha &lt;i&gt;et al.&lt;/i&gt;, 2009; Ludwick and Doucette, 2009; Meade, Buckley and Boland, 2009)","manualFormatting":"(Jha et al., 2009; Ludwick &amp; Doucette, 2009; Meade, Buckley &amp; Boland, 2009)","plainTextFormattedCitation":"(Jha et al., 2009; Ludwick and Doucette, 2009; Meade, Buckley and Boland, 2009)","previouslyFormattedCitation":"(Jha &lt;i&gt;et al.&lt;/i&gt;, 2009; Ludwick and Doucette, 2009; Meade, Buckley and Boland, 2009)"},"properties":{"noteIndex":0},"schema":"https://github.com/citation-style-language/schema/raw/master/csl-citation.json"}</w:instrText>
      </w:r>
      <w:r>
        <w:rPr>
          <w:rFonts w:ascii="Times New Roman" w:hAnsi="Times New Roman" w:cs="Times New Roman"/>
          <w:sz w:val="24"/>
          <w:szCs w:val="24"/>
        </w:rPr>
        <w:fldChar w:fldCharType="separate"/>
      </w:r>
      <w:r w:rsidRPr="00997142">
        <w:rPr>
          <w:rFonts w:ascii="Times New Roman" w:hAnsi="Times New Roman" w:cs="Times New Roman"/>
          <w:noProof/>
          <w:sz w:val="24"/>
          <w:szCs w:val="24"/>
        </w:rPr>
        <w:t xml:space="preserve">(Jha </w:t>
      </w:r>
      <w:r w:rsidRPr="001636B9">
        <w:rPr>
          <w:rFonts w:ascii="Times New Roman" w:hAnsi="Times New Roman" w:cs="Times New Roman"/>
          <w:noProof/>
          <w:sz w:val="24"/>
          <w:szCs w:val="24"/>
        </w:rPr>
        <w:t>et al.</w:t>
      </w:r>
      <w:r>
        <w:rPr>
          <w:rFonts w:ascii="Times New Roman" w:hAnsi="Times New Roman" w:cs="Times New Roman"/>
          <w:noProof/>
          <w:sz w:val="24"/>
          <w:szCs w:val="24"/>
        </w:rPr>
        <w:t>, 2009; Ludwick &amp;</w:t>
      </w:r>
      <w:r w:rsidRPr="00997142">
        <w:rPr>
          <w:rFonts w:ascii="Times New Roman" w:hAnsi="Times New Roman" w:cs="Times New Roman"/>
          <w:noProof/>
          <w:sz w:val="24"/>
          <w:szCs w:val="24"/>
        </w:rPr>
        <w:t xml:space="preserve"> Do</w:t>
      </w:r>
      <w:r>
        <w:rPr>
          <w:rFonts w:ascii="Times New Roman" w:hAnsi="Times New Roman" w:cs="Times New Roman"/>
          <w:noProof/>
          <w:sz w:val="24"/>
          <w:szCs w:val="24"/>
        </w:rPr>
        <w:t>ucette, 2009; Meade, Buckley &amp;</w:t>
      </w:r>
      <w:r w:rsidRPr="00997142">
        <w:rPr>
          <w:rFonts w:ascii="Times New Roman" w:hAnsi="Times New Roman" w:cs="Times New Roman"/>
          <w:noProof/>
          <w:sz w:val="24"/>
          <w:szCs w:val="24"/>
        </w:rPr>
        <w:t xml:space="preserve"> Boland, 2009)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E70ABB">
        <w:rPr>
          <w:rFonts w:ascii="Times New Roman" w:hAnsi="Times New Roman" w:cs="Times New Roman"/>
          <w:sz w:val="24"/>
          <w:szCs w:val="24"/>
        </w:rPr>
        <w:t>Poor user training can cause</w:t>
      </w:r>
      <w:r>
        <w:rPr>
          <w:rFonts w:ascii="Times New Roman" w:hAnsi="Times New Roman" w:cs="Times New Roman"/>
          <w:sz w:val="24"/>
          <w:szCs w:val="24"/>
        </w:rPr>
        <w:t xml:space="preserve"> poor usage of the </w:t>
      </w:r>
      <w:r w:rsidR="00D17515">
        <w:rPr>
          <w:rFonts w:ascii="Times New Roman" w:hAnsi="Times New Roman" w:cs="Times New Roman"/>
          <w:sz w:val="24"/>
          <w:szCs w:val="24"/>
        </w:rPr>
        <w:t>EHR</w:t>
      </w:r>
      <w:r w:rsidR="00D91D37">
        <w:rPr>
          <w:rFonts w:ascii="Times New Roman" w:hAnsi="Times New Roman" w:cs="Times New Roman"/>
          <w:sz w:val="24"/>
          <w:szCs w:val="24"/>
        </w:rPr>
        <w:t xml:space="preserve"> which can</w:t>
      </w:r>
      <w:r>
        <w:rPr>
          <w:rFonts w:ascii="Times New Roman" w:hAnsi="Times New Roman" w:cs="Times New Roman"/>
          <w:sz w:val="24"/>
          <w:szCs w:val="24"/>
        </w:rPr>
        <w:t xml:space="preserve"> cause wastage of the high cost </w:t>
      </w:r>
      <w:r w:rsidR="00A9148F">
        <w:rPr>
          <w:rFonts w:ascii="Times New Roman" w:hAnsi="Times New Roman" w:cs="Times New Roman"/>
          <w:sz w:val="24"/>
          <w:szCs w:val="24"/>
        </w:rPr>
        <w:t>of</w:t>
      </w:r>
      <w:r w:rsidR="00CB22C7">
        <w:rPr>
          <w:rFonts w:ascii="Times New Roman" w:hAnsi="Times New Roman" w:cs="Times New Roman"/>
          <w:sz w:val="24"/>
          <w:szCs w:val="24"/>
        </w:rPr>
        <w:t xml:space="preserve"> the EHR</w:t>
      </w:r>
      <w:r>
        <w:rPr>
          <w:rFonts w:ascii="Times New Roman" w:hAnsi="Times New Roman" w:cs="Times New Roman"/>
          <w:sz w:val="24"/>
          <w:szCs w:val="24"/>
        </w:rPr>
        <w:t xml:space="preserve">. </w:t>
      </w:r>
      <w:r w:rsidR="00613270">
        <w:rPr>
          <w:rFonts w:ascii="Times New Roman" w:hAnsi="Times New Roman" w:cs="Times New Roman"/>
          <w:sz w:val="24"/>
          <w:szCs w:val="24"/>
        </w:rPr>
        <w:t>Other studies has recommended</w:t>
      </w:r>
      <w:r>
        <w:rPr>
          <w:rFonts w:ascii="Times New Roman" w:hAnsi="Times New Roman" w:cs="Times New Roman"/>
          <w:sz w:val="24"/>
          <w:szCs w:val="24"/>
        </w:rPr>
        <w:t xml:space="preserve"> </w:t>
      </w:r>
      <w:r w:rsidR="007114E3">
        <w:rPr>
          <w:rFonts w:ascii="Times New Roman" w:hAnsi="Times New Roman" w:cs="Times New Roman"/>
          <w:sz w:val="24"/>
          <w:szCs w:val="24"/>
        </w:rPr>
        <w:t xml:space="preserve">an </w:t>
      </w:r>
      <w:r>
        <w:rPr>
          <w:rFonts w:ascii="Times New Roman" w:hAnsi="Times New Roman" w:cs="Times New Roman"/>
          <w:sz w:val="24"/>
          <w:szCs w:val="24"/>
        </w:rPr>
        <w:t>ongoing and modu</w:t>
      </w:r>
      <w:r w:rsidR="00613270">
        <w:rPr>
          <w:rFonts w:ascii="Times New Roman" w:hAnsi="Times New Roman" w:cs="Times New Roman"/>
          <w:sz w:val="24"/>
          <w:szCs w:val="24"/>
        </w:rPr>
        <w:t>le-by-module basis training as</w:t>
      </w:r>
      <w:r w:rsidR="00F138A0">
        <w:rPr>
          <w:rFonts w:ascii="Times New Roman" w:hAnsi="Times New Roman" w:cs="Times New Roman"/>
          <w:sz w:val="24"/>
          <w:szCs w:val="24"/>
        </w:rPr>
        <w:t xml:space="preserve"> steps to address the</w:t>
      </w:r>
      <w:r>
        <w:rPr>
          <w:rFonts w:ascii="Times New Roman" w:hAnsi="Times New Roman" w:cs="Times New Roman"/>
          <w:sz w:val="24"/>
          <w:szCs w:val="24"/>
        </w:rPr>
        <w:t xml:space="preserve"> poor training</w:t>
      </w:r>
      <w:r w:rsidR="00613270">
        <w:rPr>
          <w:rFonts w:ascii="Times New Roman" w:hAnsi="Times New Roman" w:cs="Times New Roman"/>
          <w:sz w:val="24"/>
          <w:szCs w:val="24"/>
        </w:rPr>
        <w:t xml:space="preserve"> coverage</w:t>
      </w:r>
      <w:r>
        <w:rPr>
          <w:rFonts w:ascii="Times New Roman" w:hAnsi="Times New Roman" w:cs="Times New Roman"/>
          <w:sz w:val="24"/>
          <w:szCs w:val="24"/>
        </w:rPr>
        <w:t xml:space="preserve"> of EHR </w:t>
      </w:r>
      <w:r>
        <w:rPr>
          <w:rFonts w:ascii="Times New Roman" w:hAnsi="Times New Roman" w:cs="Times New Roman"/>
          <w:sz w:val="24"/>
          <w:szCs w:val="24"/>
        </w:rPr>
        <w:fldChar w:fldCharType="begin" w:fldLock="1"/>
      </w:r>
      <w:r w:rsidR="00F13D77">
        <w:rPr>
          <w:rFonts w:ascii="Times New Roman" w:hAnsi="Times New Roman" w:cs="Times New Roman"/>
          <w:sz w:val="24"/>
          <w:szCs w:val="24"/>
        </w:rPr>
        <w:instrText>ADDIN CSL_CITATION {"citationItems":[{"id":"ITEM-1","itemData":{"DOI":"10.1186/1472-6963-10-231","ISSN":"14726963","PMID":"20691097","abstract":"Background. The main objective of this research is to identify, categorize, and analyze barriers perceived by physicians to the adoption of Electronic Medical Records (EMRs) in order to provide implementers with beneficial intervention options. Methods. A systematic literature review, based on research papers from 1998 to 2009, concerning barriers to the acceptance of EMRs by physicians was conducted. Four databases, \"Science\", \"EBSCO\", \"PubMed\" and \"The Cochrane Library\", were used in the literature search. Studies were included in the analysis if they reported on physicians' perceived barriers to implementing and using electronic medical records. Electronic medical records are defined as computerized medical information systems that collect, store and display patient information. Results. The study includes twenty-two articles that have considered barriers to EMR as perceived by physicians. Eight main categories of barriers, including a total of 31 sub-categories, were identified. These eight categories are: A) Financial, B) Technical, C) Time, D) Psychological, E) Social, F) Legal, G) Organizational, and H) Change Process. All these categories are interrelated with each other. In particular, Categories G (Organizational) and H (Change Process) seem to be mediating factors on other barriers. By adopting a change management perspective, we develop some barrier-related interventions that could overcome the identified barriers. Conclusions. Despite the positive effects of EMR usage in medical practices, the adoption rate of such systems is still low and meets resistance from physicians. This systematic review reveals that physicians may face a range of barriers when they approach EMR implementation. We conclude that the process of EMR implementation should be treated as a change project, and led by implementers or change managers, in medical practices. The quality of change management plays an important role in the success of EMR implementation. The barriers and suggested interventions highlighted in this study are intended to act as a reference for implementers of Electronic Medical Records. A careful diagnosis of the specific situation is required before relevant interventions can be determined. © 2010 Boonstra and Broekhuis; licensee BioMed Central Ltd.","author":[{"dropping-particle":"","family":"Boonstra","given":"Albert","non-dropping-particle":"","parse-names":false,"suffix":""},{"dropping-particle":"","family":"Broekhuis","given":"Manda","non-dropping-particle":"","parse-names":false,"suffix":""}],"container-title":"BMC Health Services Research","id":"ITEM-1","issued":{"date-parts":[["2010"]]},"title":"Barriers to the acceptance of electronic medical records by physicians from systematic review to taxonomy and interventions","type":"article-journal","volume":"10"},"uris":["http://www.mendeley.com/documents/?uuid=6145e55d-18cc-3371-9c0f-c9a2f62cefe5"]}],"mendeley":{"formattedCitation":"(Boonstra and Broekhuis, 2010)","manualFormatting":"(Boonstra &amp; Broekhuis, 2010)","plainTextFormattedCitation":"(Boonstra and Broekhuis, 2010)","previouslyFormattedCitation":"(Boonstra and Broekhuis, 2010)"},"properties":{"noteIndex":0},"schema":"https://github.com/citation-style-language/schema/raw/master/csl-citation.json"}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(Boonstra &amp;</w:t>
      </w:r>
      <w:r w:rsidRPr="003859E2">
        <w:rPr>
          <w:rFonts w:ascii="Times New Roman" w:hAnsi="Times New Roman" w:cs="Times New Roman"/>
          <w:noProof/>
          <w:sz w:val="24"/>
          <w:szCs w:val="24"/>
        </w:rPr>
        <w:t xml:space="preserve"> Broekhuis, 2010)</w:t>
      </w:r>
      <w:r>
        <w:rPr>
          <w:rFonts w:ascii="Times New Roman" w:hAnsi="Times New Roman" w:cs="Times New Roman"/>
          <w:sz w:val="24"/>
          <w:szCs w:val="24"/>
        </w:rPr>
        <w:fldChar w:fldCharType="end"/>
      </w:r>
      <w:r>
        <w:rPr>
          <w:rFonts w:ascii="Times New Roman" w:hAnsi="Times New Roman" w:cs="Times New Roman"/>
          <w:sz w:val="24"/>
          <w:szCs w:val="24"/>
        </w:rPr>
        <w:t>.</w:t>
      </w:r>
      <w:r w:rsidR="005971D7">
        <w:rPr>
          <w:rFonts w:ascii="Times New Roman" w:hAnsi="Times New Roman" w:cs="Times New Roman"/>
          <w:sz w:val="24"/>
          <w:szCs w:val="24"/>
        </w:rPr>
        <w:t xml:space="preserve"> </w:t>
      </w:r>
      <w:r w:rsidR="00E07B29" w:rsidRPr="003362F4">
        <w:rPr>
          <w:rFonts w:ascii="Times New Roman" w:hAnsi="Times New Roman" w:cs="Times New Roman"/>
          <w:sz w:val="24"/>
          <w:szCs w:val="24"/>
        </w:rPr>
        <w:t>Curre</w:t>
      </w:r>
      <w:r w:rsidR="00A644F5">
        <w:rPr>
          <w:rFonts w:ascii="Times New Roman" w:hAnsi="Times New Roman" w:cs="Times New Roman"/>
          <w:sz w:val="24"/>
          <w:szCs w:val="24"/>
        </w:rPr>
        <w:t>ntly, the user training for TPC-OHCIS</w:t>
      </w:r>
      <w:r w:rsidR="00E07B29" w:rsidRPr="003362F4">
        <w:rPr>
          <w:rFonts w:ascii="Times New Roman" w:hAnsi="Times New Roman" w:cs="Times New Roman"/>
          <w:sz w:val="24"/>
          <w:szCs w:val="24"/>
        </w:rPr>
        <w:t xml:space="preserve"> </w:t>
      </w:r>
      <w:r w:rsidR="00E07B29">
        <w:rPr>
          <w:rFonts w:ascii="Times New Roman" w:hAnsi="Times New Roman" w:cs="Times New Roman"/>
          <w:sz w:val="24"/>
          <w:szCs w:val="24"/>
        </w:rPr>
        <w:t>is a lengthy three full-day, twice-a-</w:t>
      </w:r>
      <w:r w:rsidR="00E07B29" w:rsidRPr="003362F4">
        <w:rPr>
          <w:rFonts w:ascii="Times New Roman" w:hAnsi="Times New Roman" w:cs="Times New Roman"/>
          <w:sz w:val="24"/>
          <w:szCs w:val="24"/>
        </w:rPr>
        <w:t>year organized on specific dates training classes. This poses a problem as Malaysian government health clinics are very busy and</w:t>
      </w:r>
      <w:r w:rsidR="000D7A90">
        <w:rPr>
          <w:rFonts w:ascii="Times New Roman" w:hAnsi="Times New Roman" w:cs="Times New Roman"/>
          <w:sz w:val="24"/>
          <w:szCs w:val="24"/>
        </w:rPr>
        <w:t xml:space="preserve"> have</w:t>
      </w:r>
      <w:r w:rsidR="007114E3">
        <w:rPr>
          <w:rFonts w:ascii="Times New Roman" w:hAnsi="Times New Roman" w:cs="Times New Roman"/>
          <w:sz w:val="24"/>
          <w:szCs w:val="24"/>
        </w:rPr>
        <w:t xml:space="preserve"> </w:t>
      </w:r>
      <w:r w:rsidR="007114E3" w:rsidRPr="003362F4">
        <w:rPr>
          <w:rFonts w:ascii="Times New Roman" w:hAnsi="Times New Roman" w:cs="Times New Roman"/>
          <w:sz w:val="24"/>
          <w:szCs w:val="24"/>
        </w:rPr>
        <w:t>frequent staff turnover</w:t>
      </w:r>
      <w:r w:rsidR="007114E3">
        <w:rPr>
          <w:rFonts w:ascii="Times New Roman" w:hAnsi="Times New Roman" w:cs="Times New Roman"/>
          <w:sz w:val="24"/>
          <w:szCs w:val="24"/>
        </w:rPr>
        <w:t xml:space="preserve"> </w:t>
      </w:r>
      <w:r w:rsidR="006315CA">
        <w:rPr>
          <w:rFonts w:ascii="Times New Roman" w:hAnsi="Times New Roman" w:cs="Times New Roman"/>
          <w:sz w:val="24"/>
          <w:szCs w:val="24"/>
        </w:rPr>
        <w:t>which</w:t>
      </w:r>
      <w:r w:rsidR="007114E3">
        <w:rPr>
          <w:rFonts w:ascii="Times New Roman" w:hAnsi="Times New Roman" w:cs="Times New Roman"/>
          <w:sz w:val="24"/>
          <w:szCs w:val="24"/>
        </w:rPr>
        <w:t xml:space="preserve"> </w:t>
      </w:r>
      <w:r w:rsidR="00E07B29" w:rsidRPr="003362F4">
        <w:rPr>
          <w:rFonts w:ascii="Times New Roman" w:hAnsi="Times New Roman" w:cs="Times New Roman"/>
          <w:sz w:val="24"/>
          <w:szCs w:val="24"/>
        </w:rPr>
        <w:t>canno</w:t>
      </w:r>
      <w:r w:rsidR="007114E3">
        <w:rPr>
          <w:rFonts w:ascii="Times New Roman" w:hAnsi="Times New Roman" w:cs="Times New Roman"/>
          <w:sz w:val="24"/>
          <w:szCs w:val="24"/>
        </w:rPr>
        <w:t>t afford many of its staff going</w:t>
      </w:r>
      <w:r w:rsidR="00E07B29" w:rsidRPr="003362F4">
        <w:rPr>
          <w:rFonts w:ascii="Times New Roman" w:hAnsi="Times New Roman" w:cs="Times New Roman"/>
          <w:sz w:val="24"/>
          <w:szCs w:val="24"/>
        </w:rPr>
        <w:t xml:space="preserve"> ou</w:t>
      </w:r>
      <w:r w:rsidR="007114E3">
        <w:rPr>
          <w:rFonts w:ascii="Times New Roman" w:hAnsi="Times New Roman" w:cs="Times New Roman"/>
          <w:sz w:val="24"/>
          <w:szCs w:val="24"/>
        </w:rPr>
        <w:t>t for training at the same time</w:t>
      </w:r>
      <w:r w:rsidR="00E116FE">
        <w:rPr>
          <w:rFonts w:ascii="Times New Roman" w:hAnsi="Times New Roman" w:cs="Times New Roman"/>
          <w:sz w:val="24"/>
          <w:szCs w:val="24"/>
        </w:rPr>
        <w:t xml:space="preserve"> causing poor coverage of TPC-OHCIS user training</w:t>
      </w:r>
      <w:r w:rsidR="00E07B29" w:rsidRPr="003362F4">
        <w:rPr>
          <w:rFonts w:ascii="Times New Roman" w:hAnsi="Times New Roman" w:cs="Times New Roman"/>
          <w:sz w:val="24"/>
          <w:szCs w:val="24"/>
        </w:rPr>
        <w:t xml:space="preserve">. Thus, there is a need for an accessible, shorter module-by-module and all year round delivery of training of the </w:t>
      </w:r>
      <w:r w:rsidR="00E07B29">
        <w:rPr>
          <w:rFonts w:ascii="Times New Roman" w:hAnsi="Times New Roman" w:cs="Times New Roman"/>
          <w:sz w:val="24"/>
          <w:szCs w:val="24"/>
        </w:rPr>
        <w:t>EHR</w:t>
      </w:r>
      <w:r w:rsidR="00E07B29" w:rsidRPr="003362F4">
        <w:rPr>
          <w:rFonts w:ascii="Times New Roman" w:hAnsi="Times New Roman" w:cs="Times New Roman"/>
          <w:sz w:val="24"/>
          <w:szCs w:val="24"/>
        </w:rPr>
        <w:t xml:space="preserve"> system in Malaysian government health clinics</w:t>
      </w:r>
    </w:p>
    <w:p w:rsidR="00A61772" w:rsidRPr="008F1A3A" w:rsidRDefault="00A61772" w:rsidP="002037E9">
      <w:pPr>
        <w:pStyle w:val="Heading1"/>
        <w:numPr>
          <w:ilvl w:val="0"/>
          <w:numId w:val="13"/>
        </w:numPr>
        <w:ind w:left="426"/>
        <w:rPr>
          <w:rFonts w:ascii="Times New Roman" w:hAnsi="Times New Roman" w:cs="Times New Roman"/>
          <w:b/>
          <w:color w:val="000000" w:themeColor="text1"/>
          <w:sz w:val="24"/>
          <w:szCs w:val="24"/>
        </w:rPr>
      </w:pPr>
      <w:bookmarkStart w:id="4" w:name="_Toc119880496"/>
      <w:r w:rsidRPr="008F1A3A">
        <w:rPr>
          <w:rFonts w:ascii="Times New Roman" w:hAnsi="Times New Roman" w:cs="Times New Roman"/>
          <w:b/>
          <w:color w:val="000000" w:themeColor="text1"/>
          <w:sz w:val="24"/>
          <w:szCs w:val="24"/>
        </w:rPr>
        <w:t>Goal</w:t>
      </w:r>
      <w:r w:rsidR="005971D7" w:rsidRPr="008F1A3A">
        <w:rPr>
          <w:rFonts w:ascii="Times New Roman" w:hAnsi="Times New Roman" w:cs="Times New Roman"/>
          <w:b/>
          <w:color w:val="000000" w:themeColor="text1"/>
          <w:sz w:val="24"/>
          <w:szCs w:val="24"/>
        </w:rPr>
        <w:t xml:space="preserve"> and Objectives</w:t>
      </w:r>
      <w:bookmarkEnd w:id="4"/>
    </w:p>
    <w:p w:rsidR="00816946" w:rsidRPr="00464154" w:rsidRDefault="00816946" w:rsidP="00816946">
      <w:pPr>
        <w:spacing w:after="0"/>
        <w:rPr>
          <w:rFonts w:ascii="Times New Roman" w:hAnsi="Times New Roman" w:cs="Times New Roman"/>
          <w:sz w:val="24"/>
          <w:szCs w:val="24"/>
        </w:rPr>
      </w:pPr>
    </w:p>
    <w:p w:rsidR="0041160A" w:rsidRDefault="00A61772" w:rsidP="003D3414">
      <w:pPr>
        <w:spacing w:line="360" w:lineRule="auto"/>
        <w:jc w:val="both"/>
        <w:rPr>
          <w:rFonts w:ascii="Times New Roman" w:hAnsi="Times New Roman" w:cs="Times New Roman"/>
          <w:sz w:val="24"/>
          <w:szCs w:val="24"/>
        </w:rPr>
      </w:pPr>
      <w:r w:rsidRPr="003D3414">
        <w:rPr>
          <w:rFonts w:ascii="Times New Roman" w:hAnsi="Times New Roman" w:cs="Times New Roman"/>
          <w:sz w:val="24"/>
          <w:szCs w:val="24"/>
        </w:rPr>
        <w:t>T</w:t>
      </w:r>
      <w:r w:rsidR="003D3414">
        <w:rPr>
          <w:rFonts w:ascii="Times New Roman" w:hAnsi="Times New Roman" w:cs="Times New Roman"/>
          <w:sz w:val="24"/>
          <w:szCs w:val="24"/>
        </w:rPr>
        <w:t>he goal of this project is t</w:t>
      </w:r>
      <w:r w:rsidRPr="003D3414">
        <w:rPr>
          <w:rFonts w:ascii="Times New Roman" w:hAnsi="Times New Roman" w:cs="Times New Roman"/>
          <w:sz w:val="24"/>
          <w:szCs w:val="24"/>
        </w:rPr>
        <w:t xml:space="preserve">o </w:t>
      </w:r>
      <w:r w:rsidR="00464154">
        <w:rPr>
          <w:rFonts w:ascii="Times New Roman" w:hAnsi="Times New Roman" w:cs="Times New Roman"/>
          <w:sz w:val="24"/>
          <w:szCs w:val="24"/>
        </w:rPr>
        <w:t>i</w:t>
      </w:r>
      <w:r w:rsidR="000D7A90">
        <w:rPr>
          <w:rFonts w:ascii="Times New Roman" w:hAnsi="Times New Roman" w:cs="Times New Roman"/>
          <w:sz w:val="24"/>
          <w:szCs w:val="24"/>
        </w:rPr>
        <w:t>ncrease</w:t>
      </w:r>
      <w:r w:rsidR="00464154" w:rsidRPr="00464154">
        <w:rPr>
          <w:rFonts w:ascii="Times New Roman" w:hAnsi="Times New Roman" w:cs="Times New Roman"/>
          <w:sz w:val="24"/>
          <w:szCs w:val="24"/>
        </w:rPr>
        <w:t xml:space="preserve"> percentage of usage of the </w:t>
      </w:r>
      <w:r w:rsidR="00464154">
        <w:rPr>
          <w:rFonts w:ascii="Times New Roman" w:hAnsi="Times New Roman" w:cs="Times New Roman"/>
          <w:sz w:val="24"/>
          <w:szCs w:val="24"/>
        </w:rPr>
        <w:t>TPC-OHCIS in</w:t>
      </w:r>
      <w:r w:rsidR="00464154" w:rsidRPr="00464154">
        <w:rPr>
          <w:rFonts w:ascii="Times New Roman" w:hAnsi="Times New Roman" w:cs="Times New Roman"/>
          <w:sz w:val="24"/>
          <w:szCs w:val="24"/>
        </w:rPr>
        <w:t xml:space="preserve"> Malaysian </w:t>
      </w:r>
      <w:r w:rsidR="00464154">
        <w:rPr>
          <w:rFonts w:ascii="Times New Roman" w:hAnsi="Times New Roman" w:cs="Times New Roman"/>
          <w:sz w:val="24"/>
          <w:szCs w:val="24"/>
        </w:rPr>
        <w:t xml:space="preserve">government </w:t>
      </w:r>
      <w:r w:rsidR="00464154" w:rsidRPr="00464154">
        <w:rPr>
          <w:rFonts w:ascii="Times New Roman" w:hAnsi="Times New Roman" w:cs="Times New Roman"/>
          <w:sz w:val="24"/>
          <w:szCs w:val="24"/>
        </w:rPr>
        <w:t>health clinics</w:t>
      </w:r>
      <w:r w:rsidRPr="003D3414">
        <w:rPr>
          <w:rFonts w:ascii="Times New Roman" w:hAnsi="Times New Roman" w:cs="Times New Roman"/>
          <w:sz w:val="24"/>
          <w:szCs w:val="24"/>
        </w:rPr>
        <w:t>.</w:t>
      </w:r>
      <w:r w:rsidR="005971D7">
        <w:rPr>
          <w:rFonts w:ascii="Times New Roman" w:hAnsi="Times New Roman" w:cs="Times New Roman"/>
          <w:sz w:val="24"/>
          <w:szCs w:val="24"/>
        </w:rPr>
        <w:t xml:space="preserve"> </w:t>
      </w:r>
      <w:r w:rsidR="003D3414">
        <w:rPr>
          <w:rFonts w:ascii="Times New Roman" w:hAnsi="Times New Roman" w:cs="Times New Roman"/>
          <w:sz w:val="24"/>
          <w:szCs w:val="24"/>
        </w:rPr>
        <w:t xml:space="preserve">The </w:t>
      </w:r>
      <w:r w:rsidR="005971D7">
        <w:rPr>
          <w:rFonts w:ascii="Times New Roman" w:hAnsi="Times New Roman" w:cs="Times New Roman"/>
          <w:sz w:val="24"/>
          <w:szCs w:val="24"/>
        </w:rPr>
        <w:t xml:space="preserve">specific </w:t>
      </w:r>
      <w:r w:rsidR="003D3414">
        <w:rPr>
          <w:rFonts w:ascii="Times New Roman" w:hAnsi="Times New Roman" w:cs="Times New Roman"/>
          <w:sz w:val="24"/>
          <w:szCs w:val="24"/>
        </w:rPr>
        <w:t>objectives of this project are</w:t>
      </w:r>
      <w:r w:rsidR="00971036">
        <w:rPr>
          <w:rFonts w:ascii="Times New Roman" w:hAnsi="Times New Roman" w:cs="Times New Roman"/>
          <w:sz w:val="24"/>
          <w:szCs w:val="24"/>
        </w:rPr>
        <w:t>:</w:t>
      </w:r>
      <w:r w:rsidR="003D3414">
        <w:rPr>
          <w:rFonts w:ascii="Times New Roman" w:hAnsi="Times New Roman" w:cs="Times New Roman"/>
          <w:sz w:val="24"/>
          <w:szCs w:val="24"/>
        </w:rPr>
        <w:t xml:space="preserve"> </w:t>
      </w:r>
      <w:r w:rsidR="003D3414" w:rsidRPr="003D3414">
        <w:rPr>
          <w:rFonts w:ascii="Times New Roman" w:hAnsi="Times New Roman" w:cs="Times New Roman"/>
          <w:sz w:val="24"/>
          <w:szCs w:val="24"/>
        </w:rPr>
        <w:t xml:space="preserve">1) </w:t>
      </w:r>
      <w:r w:rsidR="00971036">
        <w:rPr>
          <w:rFonts w:ascii="Times New Roman" w:hAnsi="Times New Roman" w:cs="Times New Roman"/>
          <w:sz w:val="24"/>
          <w:szCs w:val="24"/>
        </w:rPr>
        <w:t>t</w:t>
      </w:r>
      <w:r w:rsidRPr="003D3414">
        <w:rPr>
          <w:rFonts w:ascii="Times New Roman" w:hAnsi="Times New Roman" w:cs="Times New Roman"/>
          <w:sz w:val="24"/>
          <w:szCs w:val="24"/>
        </w:rPr>
        <w:t xml:space="preserve">o list </w:t>
      </w:r>
      <w:r w:rsidR="007114E3">
        <w:rPr>
          <w:rFonts w:ascii="Times New Roman" w:hAnsi="Times New Roman" w:cs="Times New Roman"/>
          <w:sz w:val="24"/>
          <w:szCs w:val="24"/>
        </w:rPr>
        <w:t>TPC-OHCIS components tailored to each healthcare worker</w:t>
      </w:r>
      <w:r w:rsidR="00157A72">
        <w:rPr>
          <w:rFonts w:ascii="Times New Roman" w:hAnsi="Times New Roman" w:cs="Times New Roman"/>
          <w:sz w:val="24"/>
          <w:szCs w:val="24"/>
        </w:rPr>
        <w:t>;</w:t>
      </w:r>
      <w:r w:rsidR="003D3414">
        <w:rPr>
          <w:rFonts w:ascii="Times New Roman" w:hAnsi="Times New Roman" w:cs="Times New Roman"/>
          <w:sz w:val="24"/>
          <w:szCs w:val="24"/>
        </w:rPr>
        <w:t xml:space="preserve"> </w:t>
      </w:r>
      <w:r w:rsidR="003D3414" w:rsidRPr="003D3414">
        <w:rPr>
          <w:rFonts w:ascii="Times New Roman" w:hAnsi="Times New Roman" w:cs="Times New Roman"/>
          <w:sz w:val="24"/>
          <w:szCs w:val="24"/>
        </w:rPr>
        <w:t xml:space="preserve">2) </w:t>
      </w:r>
      <w:r w:rsidR="00A9148F">
        <w:rPr>
          <w:rFonts w:ascii="Times New Roman" w:hAnsi="Times New Roman" w:cs="Times New Roman"/>
          <w:sz w:val="24"/>
          <w:szCs w:val="24"/>
        </w:rPr>
        <w:t>T</w:t>
      </w:r>
      <w:r w:rsidRPr="003D3414">
        <w:rPr>
          <w:rFonts w:ascii="Times New Roman" w:hAnsi="Times New Roman" w:cs="Times New Roman"/>
          <w:sz w:val="24"/>
          <w:szCs w:val="24"/>
        </w:rPr>
        <w:t xml:space="preserve">o list out education materials </w:t>
      </w:r>
      <w:r w:rsidR="009D6E63">
        <w:rPr>
          <w:rFonts w:ascii="Times New Roman" w:hAnsi="Times New Roman" w:cs="Times New Roman"/>
          <w:sz w:val="24"/>
          <w:szCs w:val="24"/>
        </w:rPr>
        <w:t>and its description</w:t>
      </w:r>
      <w:r w:rsidR="00157A72">
        <w:rPr>
          <w:rFonts w:ascii="Times New Roman" w:hAnsi="Times New Roman" w:cs="Times New Roman"/>
          <w:sz w:val="24"/>
          <w:szCs w:val="24"/>
        </w:rPr>
        <w:t>;</w:t>
      </w:r>
      <w:r w:rsidR="003D3414">
        <w:rPr>
          <w:rFonts w:ascii="Times New Roman" w:hAnsi="Times New Roman" w:cs="Times New Roman"/>
          <w:sz w:val="24"/>
          <w:szCs w:val="24"/>
        </w:rPr>
        <w:t xml:space="preserve"> </w:t>
      </w:r>
      <w:r w:rsidR="003D3414" w:rsidRPr="003D3414">
        <w:rPr>
          <w:rFonts w:ascii="Times New Roman" w:hAnsi="Times New Roman" w:cs="Times New Roman"/>
          <w:sz w:val="24"/>
          <w:szCs w:val="24"/>
        </w:rPr>
        <w:t xml:space="preserve">3) </w:t>
      </w:r>
      <w:r w:rsidR="00A9148F">
        <w:rPr>
          <w:rFonts w:ascii="Times New Roman" w:hAnsi="Times New Roman" w:cs="Times New Roman"/>
          <w:sz w:val="24"/>
          <w:szCs w:val="24"/>
        </w:rPr>
        <w:t>T</w:t>
      </w:r>
      <w:r w:rsidRPr="003D3414">
        <w:rPr>
          <w:rFonts w:ascii="Times New Roman" w:hAnsi="Times New Roman" w:cs="Times New Roman"/>
          <w:sz w:val="24"/>
          <w:szCs w:val="24"/>
        </w:rPr>
        <w:t>o develop edu</w:t>
      </w:r>
      <w:r w:rsidR="00157A72">
        <w:rPr>
          <w:rFonts w:ascii="Times New Roman" w:hAnsi="Times New Roman" w:cs="Times New Roman"/>
          <w:sz w:val="24"/>
          <w:szCs w:val="24"/>
        </w:rPr>
        <w:t>cation materials listed within six</w:t>
      </w:r>
      <w:r w:rsidRPr="003D3414">
        <w:rPr>
          <w:rFonts w:ascii="Times New Roman" w:hAnsi="Times New Roman" w:cs="Times New Roman"/>
          <w:sz w:val="24"/>
          <w:szCs w:val="24"/>
        </w:rPr>
        <w:t xml:space="preserve"> months</w:t>
      </w:r>
      <w:r w:rsidR="00157A72">
        <w:rPr>
          <w:rFonts w:ascii="Times New Roman" w:hAnsi="Times New Roman" w:cs="Times New Roman"/>
          <w:sz w:val="24"/>
          <w:szCs w:val="24"/>
        </w:rPr>
        <w:t>;</w:t>
      </w:r>
      <w:r w:rsidR="003D3414">
        <w:rPr>
          <w:rFonts w:ascii="Times New Roman" w:hAnsi="Times New Roman" w:cs="Times New Roman"/>
          <w:sz w:val="24"/>
          <w:szCs w:val="24"/>
        </w:rPr>
        <w:t xml:space="preserve"> </w:t>
      </w:r>
      <w:r w:rsidR="009F1975">
        <w:rPr>
          <w:rFonts w:ascii="Times New Roman" w:hAnsi="Times New Roman" w:cs="Times New Roman"/>
          <w:sz w:val="24"/>
          <w:szCs w:val="24"/>
        </w:rPr>
        <w:t xml:space="preserve">and 4) To </w:t>
      </w:r>
      <w:r w:rsidR="009F1975" w:rsidRPr="003D3414">
        <w:rPr>
          <w:rFonts w:ascii="Times New Roman" w:hAnsi="Times New Roman" w:cs="Times New Roman"/>
          <w:sz w:val="24"/>
          <w:szCs w:val="24"/>
        </w:rPr>
        <w:t>develop</w:t>
      </w:r>
      <w:r w:rsidR="009F1975">
        <w:rPr>
          <w:rFonts w:ascii="Times New Roman" w:hAnsi="Times New Roman" w:cs="Times New Roman"/>
          <w:sz w:val="24"/>
          <w:szCs w:val="24"/>
        </w:rPr>
        <w:t xml:space="preserve"> a secure</w:t>
      </w:r>
      <w:r w:rsidR="009F1975" w:rsidRPr="003D3414">
        <w:rPr>
          <w:rFonts w:ascii="Times New Roman" w:hAnsi="Times New Roman" w:cs="Times New Roman"/>
          <w:sz w:val="24"/>
          <w:szCs w:val="24"/>
        </w:rPr>
        <w:t xml:space="preserve"> online training modules tailored to healthcare worker</w:t>
      </w:r>
      <w:r w:rsidR="00157A72">
        <w:rPr>
          <w:rFonts w:ascii="Times New Roman" w:hAnsi="Times New Roman" w:cs="Times New Roman"/>
          <w:sz w:val="24"/>
          <w:szCs w:val="24"/>
        </w:rPr>
        <w:t>s’</w:t>
      </w:r>
      <w:r w:rsidR="009F1975" w:rsidRPr="003D3414">
        <w:rPr>
          <w:rFonts w:ascii="Times New Roman" w:hAnsi="Times New Roman" w:cs="Times New Roman"/>
          <w:sz w:val="24"/>
          <w:szCs w:val="24"/>
        </w:rPr>
        <w:t xml:space="preserve"> designations</w:t>
      </w:r>
      <w:r w:rsidR="003D3414">
        <w:rPr>
          <w:rFonts w:ascii="Times New Roman" w:hAnsi="Times New Roman" w:cs="Times New Roman"/>
          <w:sz w:val="24"/>
          <w:szCs w:val="24"/>
        </w:rPr>
        <w:t>.</w:t>
      </w:r>
      <w:r w:rsidR="0041160A">
        <w:rPr>
          <w:rFonts w:ascii="Times New Roman" w:hAnsi="Times New Roman" w:cs="Times New Roman"/>
          <w:sz w:val="24"/>
          <w:szCs w:val="24"/>
        </w:rPr>
        <w:br w:type="page"/>
      </w:r>
    </w:p>
    <w:p w:rsidR="00484E3E" w:rsidRPr="008E0689" w:rsidRDefault="009727EB" w:rsidP="002037E9">
      <w:pPr>
        <w:pStyle w:val="Heading1"/>
        <w:numPr>
          <w:ilvl w:val="0"/>
          <w:numId w:val="13"/>
        </w:numPr>
        <w:spacing w:before="0" w:after="240" w:line="360" w:lineRule="auto"/>
        <w:ind w:left="426"/>
        <w:rPr>
          <w:rFonts w:ascii="Times New Roman" w:hAnsi="Times New Roman" w:cs="Times New Roman"/>
          <w:b/>
          <w:color w:val="000000" w:themeColor="text1"/>
          <w:sz w:val="24"/>
          <w:szCs w:val="24"/>
        </w:rPr>
      </w:pPr>
      <w:bookmarkStart w:id="5" w:name="_Toc119880497"/>
      <w:r w:rsidRPr="008E0689">
        <w:rPr>
          <w:rFonts w:ascii="Times New Roman" w:hAnsi="Times New Roman" w:cs="Times New Roman"/>
          <w:b/>
          <w:color w:val="000000" w:themeColor="text1"/>
          <w:sz w:val="24"/>
          <w:szCs w:val="24"/>
        </w:rPr>
        <w:lastRenderedPageBreak/>
        <w:t>Methodology</w:t>
      </w:r>
      <w:bookmarkEnd w:id="5"/>
    </w:p>
    <w:p w:rsidR="009F1975" w:rsidRPr="009D6E63" w:rsidRDefault="009240FF" w:rsidP="007D6CE4">
      <w:pPr>
        <w:spacing w:line="360" w:lineRule="auto"/>
        <w:jc w:val="both"/>
        <w:rPr>
          <w:rFonts w:ascii="Times New Roman" w:hAnsi="Times New Roman" w:cs="Times New Roman"/>
          <w:sz w:val="24"/>
          <w:szCs w:val="24"/>
        </w:rPr>
      </w:pPr>
      <w:r w:rsidRPr="009D6E63">
        <w:rPr>
          <w:rFonts w:ascii="Times New Roman" w:hAnsi="Times New Roman" w:cs="Times New Roman"/>
          <w:sz w:val="24"/>
          <w:szCs w:val="24"/>
        </w:rPr>
        <w:t>This project will be divided</w:t>
      </w:r>
      <w:r w:rsidR="001C0929">
        <w:rPr>
          <w:rFonts w:ascii="Times New Roman" w:hAnsi="Times New Roman" w:cs="Times New Roman"/>
          <w:sz w:val="24"/>
          <w:szCs w:val="24"/>
        </w:rPr>
        <w:t xml:space="preserve"> into two</w:t>
      </w:r>
      <w:r w:rsidR="0016681E">
        <w:rPr>
          <w:rFonts w:ascii="Times New Roman" w:hAnsi="Times New Roman" w:cs="Times New Roman"/>
          <w:sz w:val="24"/>
          <w:szCs w:val="24"/>
        </w:rPr>
        <w:t xml:space="preserve"> phases</w:t>
      </w:r>
      <w:r w:rsidR="001976AA">
        <w:rPr>
          <w:rFonts w:ascii="Times New Roman" w:hAnsi="Times New Roman" w:cs="Times New Roman"/>
          <w:sz w:val="24"/>
          <w:szCs w:val="24"/>
        </w:rPr>
        <w:t>,</w:t>
      </w:r>
      <w:r w:rsidR="00591C0C">
        <w:rPr>
          <w:rFonts w:ascii="Times New Roman" w:hAnsi="Times New Roman" w:cs="Times New Roman"/>
          <w:sz w:val="24"/>
          <w:szCs w:val="24"/>
        </w:rPr>
        <w:t xml:space="preserve"> start</w:t>
      </w:r>
      <w:r w:rsidR="001976AA">
        <w:rPr>
          <w:rFonts w:ascii="Times New Roman" w:hAnsi="Times New Roman" w:cs="Times New Roman"/>
          <w:sz w:val="24"/>
          <w:szCs w:val="24"/>
        </w:rPr>
        <w:t>ing</w:t>
      </w:r>
      <w:r w:rsidR="00591C0C">
        <w:rPr>
          <w:rFonts w:ascii="Times New Roman" w:hAnsi="Times New Roman" w:cs="Times New Roman"/>
          <w:sz w:val="24"/>
          <w:szCs w:val="24"/>
        </w:rPr>
        <w:t xml:space="preserve"> with the</w:t>
      </w:r>
      <w:r w:rsidRPr="009D6E63">
        <w:rPr>
          <w:rFonts w:ascii="Times New Roman" w:hAnsi="Times New Roman" w:cs="Times New Roman"/>
          <w:sz w:val="24"/>
          <w:szCs w:val="24"/>
        </w:rPr>
        <w:t xml:space="preserve"> </w:t>
      </w:r>
      <w:r w:rsidR="007D6CE4" w:rsidRPr="009D6E63">
        <w:rPr>
          <w:rFonts w:ascii="Times New Roman" w:hAnsi="Times New Roman" w:cs="Times New Roman"/>
          <w:sz w:val="24"/>
          <w:szCs w:val="24"/>
        </w:rPr>
        <w:t xml:space="preserve">Planning Phase </w:t>
      </w:r>
      <w:r w:rsidR="007E6092">
        <w:rPr>
          <w:rFonts w:ascii="Times New Roman" w:hAnsi="Times New Roman" w:cs="Times New Roman"/>
          <w:sz w:val="24"/>
          <w:szCs w:val="24"/>
        </w:rPr>
        <w:t>and subsequently</w:t>
      </w:r>
      <w:r w:rsidRPr="009D6E63">
        <w:rPr>
          <w:rFonts w:ascii="Times New Roman" w:hAnsi="Times New Roman" w:cs="Times New Roman"/>
          <w:sz w:val="24"/>
          <w:szCs w:val="24"/>
        </w:rPr>
        <w:t xml:space="preserve"> the </w:t>
      </w:r>
      <w:r w:rsidR="009F1975">
        <w:rPr>
          <w:rFonts w:ascii="Times New Roman" w:hAnsi="Times New Roman" w:cs="Times New Roman"/>
          <w:sz w:val="24"/>
          <w:szCs w:val="24"/>
        </w:rPr>
        <w:t>Development</w:t>
      </w:r>
      <w:r w:rsidR="007D6CE4" w:rsidRPr="009D6E63">
        <w:rPr>
          <w:rFonts w:ascii="Times New Roman" w:hAnsi="Times New Roman" w:cs="Times New Roman"/>
          <w:sz w:val="24"/>
          <w:szCs w:val="24"/>
        </w:rPr>
        <w:t xml:space="preserve"> Phase.</w:t>
      </w:r>
      <w:r w:rsidR="009F1975">
        <w:rPr>
          <w:rFonts w:ascii="Times New Roman" w:hAnsi="Times New Roman" w:cs="Times New Roman"/>
          <w:sz w:val="24"/>
          <w:szCs w:val="24"/>
        </w:rPr>
        <w:t xml:space="preserve"> </w:t>
      </w:r>
      <w:r w:rsidR="004D4726">
        <w:rPr>
          <w:rFonts w:ascii="Times New Roman" w:hAnsi="Times New Roman" w:cs="Times New Roman"/>
          <w:sz w:val="24"/>
          <w:szCs w:val="24"/>
        </w:rPr>
        <w:t>S</w:t>
      </w:r>
      <w:r w:rsidR="001C0929">
        <w:rPr>
          <w:rFonts w:ascii="Times New Roman" w:hAnsi="Times New Roman" w:cs="Times New Roman"/>
          <w:sz w:val="24"/>
          <w:szCs w:val="24"/>
        </w:rPr>
        <w:t>ix</w:t>
      </w:r>
      <w:r w:rsidR="00FE6970">
        <w:rPr>
          <w:rFonts w:ascii="Times New Roman" w:hAnsi="Times New Roman" w:cs="Times New Roman"/>
          <w:sz w:val="24"/>
          <w:szCs w:val="24"/>
        </w:rPr>
        <w:t xml:space="preserve"> months after completion of this Online User Training Modules, the </w:t>
      </w:r>
      <w:r w:rsidR="00FE6970" w:rsidRPr="00FE6970">
        <w:rPr>
          <w:rFonts w:ascii="Times New Roman" w:hAnsi="Times New Roman" w:cs="Times New Roman"/>
          <w:sz w:val="24"/>
          <w:szCs w:val="24"/>
        </w:rPr>
        <w:t>percentage of usage of the TPC-OHCIS</w:t>
      </w:r>
      <w:r w:rsidR="00FE6970">
        <w:rPr>
          <w:rFonts w:ascii="Times New Roman" w:hAnsi="Times New Roman" w:cs="Times New Roman"/>
          <w:sz w:val="24"/>
          <w:szCs w:val="24"/>
        </w:rPr>
        <w:t xml:space="preserve"> will be calculated within the TPC-OHCIS system by dividing the </w:t>
      </w:r>
      <w:r w:rsidR="00FE6970" w:rsidRPr="009F1975">
        <w:rPr>
          <w:rFonts w:ascii="Times New Roman" w:hAnsi="Times New Roman" w:cs="Times New Roman"/>
          <w:sz w:val="24"/>
          <w:szCs w:val="24"/>
        </w:rPr>
        <w:t>Usa</w:t>
      </w:r>
      <w:r w:rsidR="00FE6970">
        <w:rPr>
          <w:rFonts w:ascii="Times New Roman" w:hAnsi="Times New Roman" w:cs="Times New Roman"/>
          <w:sz w:val="24"/>
          <w:szCs w:val="24"/>
        </w:rPr>
        <w:t>ge Clinical Documentation Summary of General Outpatient Service</w:t>
      </w:r>
      <w:r w:rsidR="009F1975" w:rsidRPr="009F1975">
        <w:rPr>
          <w:rFonts w:ascii="Times New Roman" w:hAnsi="Times New Roman" w:cs="Times New Roman"/>
          <w:sz w:val="24"/>
          <w:szCs w:val="24"/>
        </w:rPr>
        <w:t xml:space="preserve"> </w:t>
      </w:r>
      <w:r w:rsidR="00FE6970">
        <w:rPr>
          <w:rFonts w:ascii="Times New Roman" w:hAnsi="Times New Roman" w:cs="Times New Roman"/>
          <w:sz w:val="24"/>
          <w:szCs w:val="24"/>
        </w:rPr>
        <w:t xml:space="preserve">by </w:t>
      </w:r>
      <w:r w:rsidR="00DD7468">
        <w:rPr>
          <w:rFonts w:ascii="Times New Roman" w:hAnsi="Times New Roman" w:cs="Times New Roman"/>
          <w:sz w:val="24"/>
          <w:szCs w:val="24"/>
        </w:rPr>
        <w:t xml:space="preserve">the </w:t>
      </w:r>
      <w:r w:rsidR="00FE6970">
        <w:rPr>
          <w:rFonts w:ascii="Times New Roman" w:hAnsi="Times New Roman" w:cs="Times New Roman"/>
          <w:sz w:val="24"/>
          <w:szCs w:val="24"/>
        </w:rPr>
        <w:t>Total Visit b</w:t>
      </w:r>
      <w:r w:rsidR="009F1975" w:rsidRPr="009F1975">
        <w:rPr>
          <w:rFonts w:ascii="Times New Roman" w:hAnsi="Times New Roman" w:cs="Times New Roman"/>
          <w:sz w:val="24"/>
          <w:szCs w:val="24"/>
        </w:rPr>
        <w:t>y Clinic.</w:t>
      </w:r>
    </w:p>
    <w:p w:rsidR="00816946" w:rsidRPr="008D4EE0" w:rsidRDefault="009240FF" w:rsidP="008D4EE0">
      <w:pPr>
        <w:rPr>
          <w:rFonts w:ascii="Times New Roman" w:hAnsi="Times New Roman" w:cs="Times New Roman"/>
          <w:sz w:val="24"/>
          <w:szCs w:val="24"/>
          <w:u w:val="single"/>
        </w:rPr>
      </w:pPr>
      <w:r w:rsidRPr="008D4EE0">
        <w:rPr>
          <w:rFonts w:ascii="Times New Roman" w:hAnsi="Times New Roman" w:cs="Times New Roman"/>
          <w:sz w:val="24"/>
          <w:szCs w:val="24"/>
          <w:u w:val="single"/>
        </w:rPr>
        <w:t>Planning Phase</w:t>
      </w:r>
    </w:p>
    <w:p w:rsidR="00C440C5" w:rsidRDefault="007D6CE4" w:rsidP="0041160A">
      <w:pPr>
        <w:spacing w:line="360" w:lineRule="auto"/>
        <w:jc w:val="both"/>
        <w:rPr>
          <w:rFonts w:ascii="Times New Roman" w:hAnsi="Times New Roman" w:cs="Times New Roman"/>
          <w:sz w:val="24"/>
          <w:szCs w:val="24"/>
        </w:rPr>
      </w:pPr>
      <w:r w:rsidRPr="009D6E63">
        <w:rPr>
          <w:rFonts w:ascii="Times New Roman" w:hAnsi="Times New Roman" w:cs="Times New Roman"/>
          <w:sz w:val="24"/>
          <w:szCs w:val="24"/>
        </w:rPr>
        <w:t xml:space="preserve">In the </w:t>
      </w:r>
      <w:r w:rsidR="0009449F" w:rsidRPr="009D6E63">
        <w:rPr>
          <w:rFonts w:ascii="Times New Roman" w:hAnsi="Times New Roman" w:cs="Times New Roman"/>
          <w:sz w:val="24"/>
          <w:szCs w:val="24"/>
        </w:rPr>
        <w:t xml:space="preserve">Planning Phase, we will </w:t>
      </w:r>
      <w:r w:rsidR="001371C0">
        <w:rPr>
          <w:rFonts w:ascii="Times New Roman" w:hAnsi="Times New Roman" w:cs="Times New Roman"/>
          <w:sz w:val="24"/>
          <w:szCs w:val="24"/>
        </w:rPr>
        <w:t>conduct a two-day workshop to 1) determine</w:t>
      </w:r>
      <w:r w:rsidR="00532519" w:rsidRPr="009D6E63">
        <w:rPr>
          <w:rFonts w:ascii="Times New Roman" w:hAnsi="Times New Roman" w:cs="Times New Roman"/>
          <w:sz w:val="24"/>
          <w:szCs w:val="24"/>
        </w:rPr>
        <w:t xml:space="preserve"> healthcare worker users with their TPC-OHCIS components tailored to their specific set of</w:t>
      </w:r>
      <w:r w:rsidR="0006656A">
        <w:rPr>
          <w:rFonts w:ascii="Times New Roman" w:hAnsi="Times New Roman" w:cs="Times New Roman"/>
          <w:sz w:val="24"/>
          <w:szCs w:val="24"/>
        </w:rPr>
        <w:t xml:space="preserve"> functions</w:t>
      </w:r>
      <w:r w:rsidR="007C5E54">
        <w:rPr>
          <w:rFonts w:ascii="Times New Roman" w:hAnsi="Times New Roman" w:cs="Times New Roman"/>
          <w:sz w:val="24"/>
          <w:szCs w:val="24"/>
        </w:rPr>
        <w:t>;</w:t>
      </w:r>
      <w:r w:rsidR="00D607F9">
        <w:rPr>
          <w:rFonts w:ascii="Times New Roman" w:hAnsi="Times New Roman" w:cs="Times New Roman"/>
          <w:sz w:val="24"/>
          <w:szCs w:val="24"/>
        </w:rPr>
        <w:t xml:space="preserve"> 2) </w:t>
      </w:r>
      <w:r w:rsidR="00532519" w:rsidRPr="009D6E63">
        <w:rPr>
          <w:rFonts w:ascii="Times New Roman" w:hAnsi="Times New Roman" w:cs="Times New Roman"/>
          <w:sz w:val="24"/>
          <w:szCs w:val="24"/>
        </w:rPr>
        <w:t>list out education materials a</w:t>
      </w:r>
      <w:r w:rsidR="00B50DD4">
        <w:rPr>
          <w:rFonts w:ascii="Times New Roman" w:hAnsi="Times New Roman" w:cs="Times New Roman"/>
          <w:sz w:val="24"/>
          <w:szCs w:val="24"/>
        </w:rPr>
        <w:t>nd its description</w:t>
      </w:r>
      <w:r w:rsidR="00893977">
        <w:rPr>
          <w:rFonts w:ascii="Times New Roman" w:hAnsi="Times New Roman" w:cs="Times New Roman"/>
          <w:sz w:val="24"/>
          <w:szCs w:val="24"/>
        </w:rPr>
        <w:t>;</w:t>
      </w:r>
      <w:r w:rsidR="00E73654">
        <w:rPr>
          <w:rFonts w:ascii="Times New Roman" w:hAnsi="Times New Roman" w:cs="Times New Roman"/>
          <w:sz w:val="24"/>
          <w:szCs w:val="24"/>
        </w:rPr>
        <w:t xml:space="preserve"> 3) </w:t>
      </w:r>
      <w:r w:rsidR="005B32DC">
        <w:rPr>
          <w:rFonts w:ascii="Times New Roman" w:hAnsi="Times New Roman" w:cs="Times New Roman"/>
          <w:sz w:val="24"/>
          <w:szCs w:val="24"/>
        </w:rPr>
        <w:t>provide training to develop</w:t>
      </w:r>
      <w:r w:rsidR="00591C0C">
        <w:rPr>
          <w:rFonts w:ascii="Times New Roman" w:hAnsi="Times New Roman" w:cs="Times New Roman"/>
          <w:sz w:val="24"/>
          <w:szCs w:val="24"/>
        </w:rPr>
        <w:t xml:space="preserve"> infographics and video tutorials</w:t>
      </w:r>
      <w:r w:rsidR="005B32DC">
        <w:rPr>
          <w:rFonts w:ascii="Times New Roman" w:hAnsi="Times New Roman" w:cs="Times New Roman"/>
          <w:sz w:val="24"/>
          <w:szCs w:val="24"/>
        </w:rPr>
        <w:t>;</w:t>
      </w:r>
      <w:r w:rsidR="00B50DD4">
        <w:rPr>
          <w:rFonts w:ascii="Times New Roman" w:hAnsi="Times New Roman" w:cs="Times New Roman"/>
          <w:sz w:val="24"/>
          <w:szCs w:val="24"/>
        </w:rPr>
        <w:t xml:space="preserve"> and</w:t>
      </w:r>
      <w:r w:rsidR="00591C0C">
        <w:rPr>
          <w:rFonts w:ascii="Times New Roman" w:hAnsi="Times New Roman" w:cs="Times New Roman"/>
          <w:sz w:val="24"/>
          <w:szCs w:val="24"/>
        </w:rPr>
        <w:t xml:space="preserve"> 4</w:t>
      </w:r>
      <w:r w:rsidR="00D607F9">
        <w:rPr>
          <w:rFonts w:ascii="Times New Roman" w:hAnsi="Times New Roman" w:cs="Times New Roman"/>
          <w:sz w:val="24"/>
          <w:szCs w:val="24"/>
        </w:rPr>
        <w:t xml:space="preserve">) </w:t>
      </w:r>
      <w:r w:rsidR="005B32DC">
        <w:rPr>
          <w:rFonts w:ascii="Times New Roman" w:hAnsi="Times New Roman" w:cs="Times New Roman"/>
          <w:sz w:val="24"/>
          <w:szCs w:val="24"/>
        </w:rPr>
        <w:t>design</w:t>
      </w:r>
      <w:r w:rsidR="004127D3">
        <w:rPr>
          <w:rFonts w:ascii="Times New Roman" w:hAnsi="Times New Roman" w:cs="Times New Roman"/>
          <w:sz w:val="24"/>
          <w:szCs w:val="24"/>
        </w:rPr>
        <w:t xml:space="preserve"> a six-</w:t>
      </w:r>
      <w:r w:rsidR="00532519" w:rsidRPr="009D6E63">
        <w:rPr>
          <w:rFonts w:ascii="Times New Roman" w:hAnsi="Times New Roman" w:cs="Times New Roman"/>
          <w:sz w:val="24"/>
          <w:szCs w:val="24"/>
        </w:rPr>
        <w:t>month action plan to develop the education materials listed</w:t>
      </w:r>
      <w:r w:rsidR="009D6E63">
        <w:rPr>
          <w:rFonts w:ascii="Times New Roman" w:hAnsi="Times New Roman" w:cs="Times New Roman"/>
          <w:sz w:val="24"/>
          <w:szCs w:val="24"/>
        </w:rPr>
        <w:t xml:space="preserve"> and website</w:t>
      </w:r>
      <w:r w:rsidR="00884592">
        <w:rPr>
          <w:rFonts w:ascii="Times New Roman" w:hAnsi="Times New Roman" w:cs="Times New Roman"/>
          <w:sz w:val="24"/>
          <w:szCs w:val="24"/>
        </w:rPr>
        <w:t xml:space="preserve"> development</w:t>
      </w:r>
      <w:r w:rsidR="00C440C5" w:rsidRPr="009D6E63">
        <w:rPr>
          <w:rFonts w:ascii="Times New Roman" w:hAnsi="Times New Roman" w:cs="Times New Roman"/>
          <w:sz w:val="24"/>
          <w:szCs w:val="24"/>
        </w:rPr>
        <w:t>.</w:t>
      </w:r>
      <w:r w:rsidR="0041160A">
        <w:rPr>
          <w:rFonts w:ascii="Times New Roman" w:hAnsi="Times New Roman" w:cs="Times New Roman"/>
          <w:sz w:val="24"/>
          <w:szCs w:val="24"/>
        </w:rPr>
        <w:t xml:space="preserve"> </w:t>
      </w:r>
      <w:r w:rsidR="00C440C5" w:rsidRPr="009D6E63">
        <w:rPr>
          <w:rFonts w:ascii="Times New Roman" w:hAnsi="Times New Roman" w:cs="Times New Roman"/>
          <w:sz w:val="24"/>
          <w:szCs w:val="24"/>
        </w:rPr>
        <w:t>T</w:t>
      </w:r>
      <w:r w:rsidR="004E5FCD">
        <w:rPr>
          <w:rFonts w:ascii="Times New Roman" w:hAnsi="Times New Roman" w:cs="Times New Roman"/>
          <w:sz w:val="24"/>
          <w:szCs w:val="24"/>
        </w:rPr>
        <w:t xml:space="preserve">his workshop will be conducted physically at </w:t>
      </w:r>
      <w:r w:rsidR="005B32DC">
        <w:rPr>
          <w:rFonts w:ascii="Times New Roman" w:hAnsi="Times New Roman" w:cs="Times New Roman"/>
          <w:sz w:val="24"/>
          <w:szCs w:val="24"/>
        </w:rPr>
        <w:t xml:space="preserve">the </w:t>
      </w:r>
      <w:r w:rsidR="004E5FCD">
        <w:rPr>
          <w:rFonts w:ascii="Times New Roman" w:hAnsi="Times New Roman" w:cs="Times New Roman"/>
          <w:sz w:val="24"/>
          <w:szCs w:val="24"/>
        </w:rPr>
        <w:t>Ministry of Health Malaysia’s headquarters’ of</w:t>
      </w:r>
      <w:r w:rsidR="00884592">
        <w:rPr>
          <w:rFonts w:ascii="Times New Roman" w:hAnsi="Times New Roman" w:cs="Times New Roman"/>
          <w:sz w:val="24"/>
          <w:szCs w:val="24"/>
        </w:rPr>
        <w:t>fice in Putrajaya</w:t>
      </w:r>
      <w:r w:rsidR="00BB5A1E">
        <w:rPr>
          <w:rFonts w:ascii="Times New Roman" w:hAnsi="Times New Roman" w:cs="Times New Roman"/>
          <w:sz w:val="24"/>
          <w:szCs w:val="24"/>
        </w:rPr>
        <w:t xml:space="preserve"> in February 2023</w:t>
      </w:r>
      <w:r w:rsidR="00884592">
        <w:rPr>
          <w:rFonts w:ascii="Times New Roman" w:hAnsi="Times New Roman" w:cs="Times New Roman"/>
          <w:sz w:val="24"/>
          <w:szCs w:val="24"/>
        </w:rPr>
        <w:t xml:space="preserve"> </w:t>
      </w:r>
      <w:r w:rsidR="00102B88">
        <w:rPr>
          <w:rFonts w:ascii="Times New Roman" w:hAnsi="Times New Roman" w:cs="Times New Roman"/>
          <w:sz w:val="24"/>
          <w:szCs w:val="24"/>
        </w:rPr>
        <w:t>(</w:t>
      </w:r>
      <w:r w:rsidR="00E45480">
        <w:rPr>
          <w:rFonts w:ascii="Times New Roman" w:hAnsi="Times New Roman" w:cs="Times New Roman"/>
          <w:sz w:val="24"/>
          <w:szCs w:val="24"/>
        </w:rPr>
        <w:t>Annex</w:t>
      </w:r>
      <w:r w:rsidR="00884592">
        <w:rPr>
          <w:rFonts w:ascii="Times New Roman" w:hAnsi="Times New Roman" w:cs="Times New Roman"/>
          <w:sz w:val="24"/>
          <w:szCs w:val="24"/>
        </w:rPr>
        <w:t xml:space="preserve"> </w:t>
      </w:r>
      <w:r w:rsidR="00CB1AA5">
        <w:rPr>
          <w:rFonts w:ascii="Times New Roman" w:hAnsi="Times New Roman" w:cs="Times New Roman"/>
          <w:sz w:val="24"/>
          <w:szCs w:val="24"/>
        </w:rPr>
        <w:t>1</w:t>
      </w:r>
      <w:r w:rsidR="00102B88">
        <w:rPr>
          <w:rFonts w:ascii="Times New Roman" w:hAnsi="Times New Roman" w:cs="Times New Roman"/>
          <w:sz w:val="24"/>
          <w:szCs w:val="24"/>
        </w:rPr>
        <w:t>)</w:t>
      </w:r>
      <w:r w:rsidR="004E5FCD">
        <w:rPr>
          <w:rFonts w:ascii="Times New Roman" w:hAnsi="Times New Roman" w:cs="Times New Roman"/>
          <w:sz w:val="24"/>
          <w:szCs w:val="24"/>
        </w:rPr>
        <w:t>.</w:t>
      </w:r>
      <w:r w:rsidR="00AD01F2">
        <w:rPr>
          <w:rFonts w:ascii="Times New Roman" w:hAnsi="Times New Roman" w:cs="Times New Roman"/>
          <w:sz w:val="24"/>
          <w:szCs w:val="24"/>
        </w:rPr>
        <w:t xml:space="preserve"> All the softcopy output of this workshop will be uploaded into a dedicated folder on the MOH Malaysia owned cloud DataBox.</w:t>
      </w:r>
      <w:r w:rsidR="00A746BA">
        <w:rPr>
          <w:rFonts w:ascii="Times New Roman" w:hAnsi="Times New Roman" w:cs="Times New Roman"/>
          <w:sz w:val="24"/>
          <w:szCs w:val="24"/>
        </w:rPr>
        <w:t xml:space="preserve"> </w:t>
      </w:r>
      <w:r w:rsidR="00034BD1">
        <w:rPr>
          <w:rFonts w:ascii="Times New Roman" w:hAnsi="Times New Roman" w:cs="Times New Roman"/>
          <w:sz w:val="24"/>
          <w:szCs w:val="24"/>
        </w:rPr>
        <w:t xml:space="preserve">The location of the workshop must have good internet wifi connection. </w:t>
      </w:r>
      <w:r w:rsidR="00A746BA">
        <w:rPr>
          <w:rFonts w:ascii="Times New Roman" w:hAnsi="Times New Roman" w:cs="Times New Roman"/>
          <w:sz w:val="24"/>
          <w:szCs w:val="24"/>
        </w:rPr>
        <w:t xml:space="preserve">Participants of the workshop are </w:t>
      </w:r>
      <w:r w:rsidR="00591C0C">
        <w:rPr>
          <w:rFonts w:ascii="Times New Roman" w:hAnsi="Times New Roman" w:cs="Times New Roman"/>
          <w:sz w:val="24"/>
          <w:szCs w:val="24"/>
        </w:rPr>
        <w:t xml:space="preserve">from the groups </w:t>
      </w:r>
      <w:r w:rsidR="009C6D8E">
        <w:rPr>
          <w:rFonts w:ascii="Times New Roman" w:hAnsi="Times New Roman" w:cs="Times New Roman"/>
          <w:sz w:val="24"/>
          <w:szCs w:val="24"/>
        </w:rPr>
        <w:t xml:space="preserve">listed </w:t>
      </w:r>
      <w:r w:rsidR="00A746BA">
        <w:rPr>
          <w:rFonts w:ascii="Times New Roman" w:hAnsi="Times New Roman" w:cs="Times New Roman"/>
          <w:sz w:val="24"/>
          <w:szCs w:val="24"/>
        </w:rPr>
        <w:t>below</w:t>
      </w:r>
      <w:r w:rsidR="004F2658">
        <w:rPr>
          <w:rFonts w:ascii="Times New Roman" w:hAnsi="Times New Roman" w:cs="Times New Roman"/>
          <w:sz w:val="24"/>
          <w:szCs w:val="24"/>
        </w:rPr>
        <w:t>, all within the MOH, Malaysia</w:t>
      </w:r>
      <w:r w:rsidR="00A746BA">
        <w:rPr>
          <w:rFonts w:ascii="Times New Roman" w:hAnsi="Times New Roman" w:cs="Times New Roman"/>
          <w:sz w:val="24"/>
          <w:szCs w:val="24"/>
        </w:rPr>
        <w:t>:</w:t>
      </w:r>
    </w:p>
    <w:p w:rsidR="004F2658" w:rsidRPr="00670033" w:rsidRDefault="004F2658" w:rsidP="009B0F71">
      <w:pPr>
        <w:pStyle w:val="ListParagraph"/>
        <w:numPr>
          <w:ilvl w:val="0"/>
          <w:numId w:val="11"/>
        </w:numPr>
        <w:spacing w:line="360" w:lineRule="auto"/>
        <w:rPr>
          <w:rFonts w:ascii="Times New Roman" w:hAnsi="Times New Roman" w:cs="Times New Roman"/>
          <w:sz w:val="24"/>
          <w:szCs w:val="24"/>
        </w:rPr>
      </w:pPr>
      <w:r w:rsidRPr="00670033">
        <w:rPr>
          <w:rFonts w:ascii="Times New Roman" w:hAnsi="Times New Roman" w:cs="Times New Roman"/>
          <w:sz w:val="24"/>
          <w:szCs w:val="24"/>
        </w:rPr>
        <w:t xml:space="preserve">Teleprimary Care </w:t>
      </w:r>
      <w:r w:rsidR="00666CB2">
        <w:rPr>
          <w:rFonts w:ascii="Times New Roman" w:hAnsi="Times New Roman" w:cs="Times New Roman"/>
          <w:sz w:val="24"/>
          <w:szCs w:val="24"/>
        </w:rPr>
        <w:t xml:space="preserve">(TPC) </w:t>
      </w:r>
      <w:r w:rsidRPr="00670033">
        <w:rPr>
          <w:rFonts w:ascii="Times New Roman" w:hAnsi="Times New Roman" w:cs="Times New Roman"/>
          <w:sz w:val="24"/>
          <w:szCs w:val="24"/>
        </w:rPr>
        <w:t>Sector, Family Health Development Division</w:t>
      </w:r>
    </w:p>
    <w:p w:rsidR="00D0725E" w:rsidRPr="00670033" w:rsidRDefault="00D0725E" w:rsidP="009B0F71">
      <w:pPr>
        <w:pStyle w:val="ListParagraph"/>
        <w:numPr>
          <w:ilvl w:val="0"/>
          <w:numId w:val="11"/>
        </w:numPr>
        <w:spacing w:line="360" w:lineRule="auto"/>
        <w:rPr>
          <w:rFonts w:ascii="Times New Roman" w:hAnsi="Times New Roman" w:cs="Times New Roman"/>
          <w:sz w:val="24"/>
          <w:szCs w:val="24"/>
        </w:rPr>
      </w:pPr>
      <w:r w:rsidRPr="00670033">
        <w:rPr>
          <w:rFonts w:ascii="Times New Roman" w:hAnsi="Times New Roman" w:cs="Times New Roman"/>
          <w:sz w:val="24"/>
          <w:szCs w:val="24"/>
        </w:rPr>
        <w:t>Health education officer, Health Literacy Unit, Family Health Development Division</w:t>
      </w:r>
    </w:p>
    <w:p w:rsidR="00D0725E" w:rsidRPr="00670033" w:rsidRDefault="004F2658" w:rsidP="009B0F71">
      <w:pPr>
        <w:pStyle w:val="ListParagraph"/>
        <w:numPr>
          <w:ilvl w:val="0"/>
          <w:numId w:val="11"/>
        </w:numPr>
        <w:spacing w:line="360" w:lineRule="auto"/>
        <w:rPr>
          <w:rFonts w:ascii="Times New Roman" w:hAnsi="Times New Roman" w:cs="Times New Roman"/>
          <w:sz w:val="24"/>
          <w:szCs w:val="24"/>
        </w:rPr>
      </w:pPr>
      <w:r w:rsidRPr="00670033">
        <w:rPr>
          <w:rFonts w:ascii="Times New Roman" w:hAnsi="Times New Roman" w:cs="Times New Roman"/>
          <w:sz w:val="24"/>
          <w:szCs w:val="24"/>
        </w:rPr>
        <w:t>Health education officers, Health Promotion Division</w:t>
      </w:r>
    </w:p>
    <w:p w:rsidR="004E5FCD" w:rsidRPr="00670033" w:rsidRDefault="004F2658" w:rsidP="009B0F71">
      <w:pPr>
        <w:pStyle w:val="ListParagraph"/>
        <w:numPr>
          <w:ilvl w:val="0"/>
          <w:numId w:val="11"/>
        </w:numPr>
        <w:spacing w:line="360" w:lineRule="auto"/>
        <w:rPr>
          <w:rFonts w:ascii="Times New Roman" w:hAnsi="Times New Roman" w:cs="Times New Roman"/>
          <w:sz w:val="24"/>
          <w:szCs w:val="24"/>
        </w:rPr>
      </w:pPr>
      <w:r w:rsidRPr="00670033">
        <w:rPr>
          <w:rFonts w:ascii="Times New Roman" w:hAnsi="Times New Roman" w:cs="Times New Roman"/>
          <w:sz w:val="24"/>
          <w:szCs w:val="24"/>
        </w:rPr>
        <w:t>I</w:t>
      </w:r>
      <w:r w:rsidR="00F21872">
        <w:rPr>
          <w:rFonts w:ascii="Times New Roman" w:hAnsi="Times New Roman" w:cs="Times New Roman"/>
          <w:sz w:val="24"/>
          <w:szCs w:val="24"/>
        </w:rPr>
        <w:t>nformation technology</w:t>
      </w:r>
      <w:r w:rsidR="00BB5A1E">
        <w:rPr>
          <w:rFonts w:ascii="Times New Roman" w:hAnsi="Times New Roman" w:cs="Times New Roman"/>
          <w:sz w:val="24"/>
          <w:szCs w:val="24"/>
        </w:rPr>
        <w:t xml:space="preserve"> (IT)</w:t>
      </w:r>
      <w:r w:rsidRPr="00670033">
        <w:rPr>
          <w:rFonts w:ascii="Times New Roman" w:hAnsi="Times New Roman" w:cs="Times New Roman"/>
          <w:sz w:val="24"/>
          <w:szCs w:val="24"/>
        </w:rPr>
        <w:t xml:space="preserve"> officers, Information Management Division</w:t>
      </w:r>
    </w:p>
    <w:p w:rsidR="004F2658" w:rsidRPr="00670033" w:rsidRDefault="004F2658" w:rsidP="009B0F71">
      <w:pPr>
        <w:pStyle w:val="ListParagraph"/>
        <w:numPr>
          <w:ilvl w:val="0"/>
          <w:numId w:val="11"/>
        </w:numPr>
        <w:spacing w:line="360" w:lineRule="auto"/>
        <w:rPr>
          <w:rFonts w:ascii="Times New Roman" w:hAnsi="Times New Roman" w:cs="Times New Roman"/>
          <w:sz w:val="24"/>
          <w:szCs w:val="24"/>
        </w:rPr>
      </w:pPr>
      <w:r w:rsidRPr="00670033">
        <w:rPr>
          <w:rFonts w:ascii="Times New Roman" w:hAnsi="Times New Roman" w:cs="Times New Roman"/>
          <w:sz w:val="24"/>
          <w:szCs w:val="24"/>
        </w:rPr>
        <w:t>TPC-OHCIS champions from 7 states covering all types of healthcare workers</w:t>
      </w:r>
    </w:p>
    <w:p w:rsidR="004D1FE9" w:rsidRDefault="004D1FE9" w:rsidP="0042744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Specific participants will be identified from the above</w:t>
      </w:r>
      <w:r w:rsidR="00427441">
        <w:rPr>
          <w:rFonts w:ascii="Times New Roman" w:hAnsi="Times New Roman" w:cs="Times New Roman"/>
          <w:sz w:val="24"/>
          <w:szCs w:val="24"/>
        </w:rPr>
        <w:t xml:space="preserve"> groups and</w:t>
      </w:r>
      <w:r w:rsidR="00A55565">
        <w:rPr>
          <w:rFonts w:ascii="Times New Roman" w:hAnsi="Times New Roman" w:cs="Times New Roman"/>
          <w:sz w:val="24"/>
          <w:szCs w:val="24"/>
        </w:rPr>
        <w:t xml:space="preserve"> subsequently</w:t>
      </w:r>
      <w:r w:rsidR="00427441">
        <w:rPr>
          <w:rFonts w:ascii="Times New Roman" w:hAnsi="Times New Roman" w:cs="Times New Roman"/>
          <w:sz w:val="24"/>
          <w:szCs w:val="24"/>
        </w:rPr>
        <w:t xml:space="preserve"> </w:t>
      </w:r>
      <w:r w:rsidR="00AD6E86">
        <w:rPr>
          <w:rFonts w:ascii="Times New Roman" w:hAnsi="Times New Roman" w:cs="Times New Roman"/>
          <w:sz w:val="24"/>
          <w:szCs w:val="24"/>
        </w:rPr>
        <w:t xml:space="preserve">a </w:t>
      </w:r>
      <w:r w:rsidR="00427441">
        <w:rPr>
          <w:rFonts w:ascii="Times New Roman" w:hAnsi="Times New Roman" w:cs="Times New Roman"/>
          <w:sz w:val="24"/>
          <w:szCs w:val="24"/>
        </w:rPr>
        <w:t>letter of invitation will be distributed via email. T</w:t>
      </w:r>
      <w:r w:rsidR="00DE5991">
        <w:rPr>
          <w:rFonts w:ascii="Times New Roman" w:hAnsi="Times New Roman" w:cs="Times New Roman"/>
          <w:sz w:val="24"/>
          <w:szCs w:val="24"/>
        </w:rPr>
        <w:t>he t</w:t>
      </w:r>
      <w:r w:rsidR="00427441">
        <w:rPr>
          <w:rFonts w:ascii="Times New Roman" w:hAnsi="Times New Roman" w:cs="Times New Roman"/>
          <w:sz w:val="24"/>
          <w:szCs w:val="24"/>
        </w:rPr>
        <w:t xml:space="preserve">otal number of participants for this workshop is 30. The cost of accommodation and mileage of the participants will be covered by their respective </w:t>
      </w:r>
      <w:r w:rsidR="009F1975">
        <w:rPr>
          <w:rFonts w:ascii="Times New Roman" w:hAnsi="Times New Roman" w:cs="Times New Roman"/>
          <w:sz w:val="24"/>
          <w:szCs w:val="24"/>
        </w:rPr>
        <w:t>departments.</w:t>
      </w:r>
    </w:p>
    <w:p w:rsidR="009F1975" w:rsidRDefault="009F1975" w:rsidP="0042744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workshop starts by listing out the current</w:t>
      </w:r>
      <w:r w:rsidR="004953D2">
        <w:rPr>
          <w:rFonts w:ascii="Times New Roman" w:hAnsi="Times New Roman" w:cs="Times New Roman"/>
          <w:sz w:val="24"/>
          <w:szCs w:val="24"/>
        </w:rPr>
        <w:t xml:space="preserve"> 23</w:t>
      </w:r>
      <w:r>
        <w:rPr>
          <w:rFonts w:ascii="Times New Roman" w:hAnsi="Times New Roman" w:cs="Times New Roman"/>
          <w:sz w:val="24"/>
          <w:szCs w:val="24"/>
        </w:rPr>
        <w:t xml:space="preserve"> modules</w:t>
      </w:r>
      <w:r w:rsidR="004953D2">
        <w:rPr>
          <w:rFonts w:ascii="Times New Roman" w:hAnsi="Times New Roman" w:cs="Times New Roman"/>
          <w:sz w:val="24"/>
          <w:szCs w:val="24"/>
        </w:rPr>
        <w:t xml:space="preserve"> and 145 submodules</w:t>
      </w:r>
      <w:r>
        <w:rPr>
          <w:rFonts w:ascii="Times New Roman" w:hAnsi="Times New Roman" w:cs="Times New Roman"/>
          <w:sz w:val="24"/>
          <w:szCs w:val="24"/>
        </w:rPr>
        <w:t xml:space="preserve"> in TPC-OHC</w:t>
      </w:r>
      <w:r w:rsidR="003E6C78">
        <w:rPr>
          <w:rFonts w:ascii="Times New Roman" w:hAnsi="Times New Roman" w:cs="Times New Roman"/>
          <w:sz w:val="24"/>
          <w:szCs w:val="24"/>
        </w:rPr>
        <w:t>IS</w:t>
      </w:r>
      <w:r w:rsidR="004953D2">
        <w:rPr>
          <w:rFonts w:ascii="Times New Roman" w:hAnsi="Times New Roman" w:cs="Times New Roman"/>
          <w:sz w:val="24"/>
          <w:szCs w:val="24"/>
        </w:rPr>
        <w:t>. Par</w:t>
      </w:r>
      <w:r w:rsidR="005A21C3">
        <w:rPr>
          <w:rFonts w:ascii="Times New Roman" w:hAnsi="Times New Roman" w:cs="Times New Roman"/>
          <w:sz w:val="24"/>
          <w:szCs w:val="24"/>
        </w:rPr>
        <w:t>ticipants will be divided into three</w:t>
      </w:r>
      <w:r w:rsidR="004953D2">
        <w:rPr>
          <w:rFonts w:ascii="Times New Roman" w:hAnsi="Times New Roman" w:cs="Times New Roman"/>
          <w:sz w:val="24"/>
          <w:szCs w:val="24"/>
        </w:rPr>
        <w:t xml:space="preserve"> groups</w:t>
      </w:r>
      <w:r w:rsidR="002346BC">
        <w:rPr>
          <w:rFonts w:ascii="Times New Roman" w:hAnsi="Times New Roman" w:cs="Times New Roman"/>
          <w:sz w:val="24"/>
          <w:szCs w:val="24"/>
        </w:rPr>
        <w:t>, 10 participants each,</w:t>
      </w:r>
      <w:r w:rsidR="004953D2">
        <w:rPr>
          <w:rFonts w:ascii="Times New Roman" w:hAnsi="Times New Roman" w:cs="Times New Roman"/>
          <w:sz w:val="24"/>
          <w:szCs w:val="24"/>
        </w:rPr>
        <w:t xml:space="preserve"> </w:t>
      </w:r>
      <w:r w:rsidR="002346BC">
        <w:rPr>
          <w:rFonts w:ascii="Times New Roman" w:hAnsi="Times New Roman" w:cs="Times New Roman"/>
          <w:sz w:val="24"/>
          <w:szCs w:val="24"/>
        </w:rPr>
        <w:t xml:space="preserve">according to </w:t>
      </w:r>
      <w:r w:rsidR="005A21C3">
        <w:rPr>
          <w:rFonts w:ascii="Times New Roman" w:hAnsi="Times New Roman" w:cs="Times New Roman"/>
          <w:sz w:val="24"/>
          <w:szCs w:val="24"/>
        </w:rPr>
        <w:t>the three</w:t>
      </w:r>
      <w:r w:rsidR="004953D2">
        <w:rPr>
          <w:rFonts w:ascii="Times New Roman" w:hAnsi="Times New Roman" w:cs="Times New Roman"/>
          <w:sz w:val="24"/>
          <w:szCs w:val="24"/>
        </w:rPr>
        <w:t xml:space="preserve"> sections of a government health clinic</w:t>
      </w:r>
      <w:r w:rsidR="00FE2EC5">
        <w:rPr>
          <w:rFonts w:ascii="Times New Roman" w:hAnsi="Times New Roman" w:cs="Times New Roman"/>
          <w:sz w:val="24"/>
          <w:szCs w:val="24"/>
        </w:rPr>
        <w:t>:</w:t>
      </w:r>
      <w:r w:rsidR="004953D2">
        <w:rPr>
          <w:rFonts w:ascii="Times New Roman" w:hAnsi="Times New Roman" w:cs="Times New Roman"/>
          <w:sz w:val="24"/>
          <w:szCs w:val="24"/>
        </w:rPr>
        <w:t xml:space="preserve"> 1) Outpa</w:t>
      </w:r>
      <w:r w:rsidR="00CC715F">
        <w:rPr>
          <w:rFonts w:ascii="Times New Roman" w:hAnsi="Times New Roman" w:cs="Times New Roman"/>
          <w:sz w:val="24"/>
          <w:szCs w:val="24"/>
        </w:rPr>
        <w:t>tient group;</w:t>
      </w:r>
      <w:r w:rsidR="004953D2">
        <w:rPr>
          <w:rFonts w:ascii="Times New Roman" w:hAnsi="Times New Roman" w:cs="Times New Roman"/>
          <w:sz w:val="24"/>
          <w:szCs w:val="24"/>
        </w:rPr>
        <w:t xml:space="preserve"> 2) Maternal and Child Health group</w:t>
      </w:r>
      <w:r w:rsidR="00CC715F">
        <w:rPr>
          <w:rFonts w:ascii="Times New Roman" w:hAnsi="Times New Roman" w:cs="Times New Roman"/>
          <w:sz w:val="24"/>
          <w:szCs w:val="24"/>
        </w:rPr>
        <w:t>;</w:t>
      </w:r>
      <w:r w:rsidR="004953D2">
        <w:rPr>
          <w:rFonts w:ascii="Times New Roman" w:hAnsi="Times New Roman" w:cs="Times New Roman"/>
          <w:sz w:val="24"/>
          <w:szCs w:val="24"/>
        </w:rPr>
        <w:t xml:space="preserve"> and 3) Allied Health group. Each group will list out the healthcare workers in their section then identify the related TPC-OHCIS modules and submodules for each healthcare </w:t>
      </w:r>
      <w:r w:rsidR="004953D2">
        <w:rPr>
          <w:rFonts w:ascii="Times New Roman" w:hAnsi="Times New Roman" w:cs="Times New Roman"/>
          <w:sz w:val="24"/>
          <w:szCs w:val="24"/>
        </w:rPr>
        <w:lastRenderedPageBreak/>
        <w:t>worker. Structure of the tailored mo</w:t>
      </w:r>
      <w:r w:rsidR="00170FFB">
        <w:rPr>
          <w:rFonts w:ascii="Times New Roman" w:hAnsi="Times New Roman" w:cs="Times New Roman"/>
          <w:sz w:val="24"/>
          <w:szCs w:val="24"/>
        </w:rPr>
        <w:t xml:space="preserve">dules according to healthcare </w:t>
      </w:r>
      <w:r w:rsidR="00FE2EC5">
        <w:rPr>
          <w:rFonts w:ascii="Times New Roman" w:hAnsi="Times New Roman" w:cs="Times New Roman"/>
          <w:sz w:val="24"/>
          <w:szCs w:val="24"/>
        </w:rPr>
        <w:t>worker designation</w:t>
      </w:r>
      <w:r w:rsidR="00CB1AA5">
        <w:rPr>
          <w:rFonts w:ascii="Times New Roman" w:hAnsi="Times New Roman" w:cs="Times New Roman"/>
          <w:sz w:val="24"/>
          <w:szCs w:val="24"/>
        </w:rPr>
        <w:t xml:space="preserve"> </w:t>
      </w:r>
      <w:r w:rsidR="00FE2EC5">
        <w:rPr>
          <w:rFonts w:ascii="Times New Roman" w:hAnsi="Times New Roman" w:cs="Times New Roman"/>
          <w:sz w:val="24"/>
          <w:szCs w:val="24"/>
        </w:rPr>
        <w:t>(</w:t>
      </w:r>
      <w:r w:rsidR="00CB1AA5">
        <w:rPr>
          <w:rFonts w:ascii="Times New Roman" w:hAnsi="Times New Roman" w:cs="Times New Roman"/>
          <w:sz w:val="24"/>
          <w:szCs w:val="24"/>
        </w:rPr>
        <w:t>Annex 2</w:t>
      </w:r>
      <w:r w:rsidR="00FE2EC5">
        <w:rPr>
          <w:rFonts w:ascii="Times New Roman" w:hAnsi="Times New Roman" w:cs="Times New Roman"/>
          <w:sz w:val="24"/>
          <w:szCs w:val="24"/>
        </w:rPr>
        <w:t>)</w:t>
      </w:r>
      <w:r w:rsidR="00170FFB">
        <w:rPr>
          <w:rFonts w:ascii="Times New Roman" w:hAnsi="Times New Roman" w:cs="Times New Roman"/>
          <w:sz w:val="24"/>
          <w:szCs w:val="24"/>
        </w:rPr>
        <w:t>.</w:t>
      </w:r>
    </w:p>
    <w:p w:rsidR="00C440C5" w:rsidRPr="008D4EE0" w:rsidRDefault="00575A47" w:rsidP="008D4EE0">
      <w:pPr>
        <w:rPr>
          <w:rFonts w:ascii="Times New Roman" w:hAnsi="Times New Roman" w:cs="Times New Roman"/>
          <w:sz w:val="24"/>
          <w:szCs w:val="24"/>
          <w:u w:val="single"/>
        </w:rPr>
      </w:pPr>
      <w:r w:rsidRPr="008D4EE0">
        <w:rPr>
          <w:rFonts w:ascii="Times New Roman" w:hAnsi="Times New Roman" w:cs="Times New Roman"/>
          <w:sz w:val="24"/>
          <w:szCs w:val="24"/>
          <w:u w:val="single"/>
        </w:rPr>
        <w:t>Development</w:t>
      </w:r>
      <w:r w:rsidR="00C440C5" w:rsidRPr="008D4EE0">
        <w:rPr>
          <w:rFonts w:ascii="Times New Roman" w:hAnsi="Times New Roman" w:cs="Times New Roman"/>
          <w:sz w:val="24"/>
          <w:szCs w:val="24"/>
          <w:u w:val="single"/>
        </w:rPr>
        <w:t xml:space="preserve"> Phase</w:t>
      </w:r>
    </w:p>
    <w:p w:rsidR="008434DF" w:rsidRPr="008434DF" w:rsidRDefault="008434DF" w:rsidP="008434DF">
      <w:pPr>
        <w:spacing w:after="0"/>
      </w:pPr>
    </w:p>
    <w:p w:rsidR="00BB5A1E" w:rsidRDefault="00C440C5" w:rsidP="00442702">
      <w:pPr>
        <w:spacing w:line="360" w:lineRule="auto"/>
        <w:jc w:val="both"/>
        <w:rPr>
          <w:rFonts w:ascii="Times New Roman" w:hAnsi="Times New Roman" w:cs="Times New Roman"/>
          <w:sz w:val="24"/>
          <w:szCs w:val="24"/>
        </w:rPr>
      </w:pPr>
      <w:r w:rsidRPr="009D6E63">
        <w:rPr>
          <w:rFonts w:ascii="Times New Roman" w:hAnsi="Times New Roman" w:cs="Times New Roman"/>
          <w:sz w:val="24"/>
          <w:szCs w:val="24"/>
        </w:rPr>
        <w:t>The Development Phase is divided into 1) development of the education materials and 2) development to the training website.</w:t>
      </w:r>
      <w:r w:rsidR="009D6E63">
        <w:rPr>
          <w:rFonts w:ascii="Times New Roman" w:hAnsi="Times New Roman" w:cs="Times New Roman"/>
          <w:sz w:val="24"/>
          <w:szCs w:val="24"/>
        </w:rPr>
        <w:t xml:space="preserve"> In this phase, we will execu</w:t>
      </w:r>
      <w:r w:rsidR="002678F2">
        <w:rPr>
          <w:rFonts w:ascii="Times New Roman" w:hAnsi="Times New Roman" w:cs="Times New Roman"/>
          <w:sz w:val="24"/>
          <w:szCs w:val="24"/>
        </w:rPr>
        <w:t>te the six-month</w:t>
      </w:r>
      <w:r w:rsidR="00AD01F2">
        <w:rPr>
          <w:rFonts w:ascii="Times New Roman" w:hAnsi="Times New Roman" w:cs="Times New Roman"/>
          <w:sz w:val="24"/>
          <w:szCs w:val="24"/>
        </w:rPr>
        <w:t xml:space="preserve"> action plan </w:t>
      </w:r>
      <w:r w:rsidR="00BB5A1E">
        <w:rPr>
          <w:rFonts w:ascii="Times New Roman" w:hAnsi="Times New Roman" w:cs="Times New Roman"/>
          <w:sz w:val="24"/>
          <w:szCs w:val="24"/>
        </w:rPr>
        <w:t>from Ma</w:t>
      </w:r>
      <w:r w:rsidR="004A29CD">
        <w:rPr>
          <w:rFonts w:ascii="Times New Roman" w:hAnsi="Times New Roman" w:cs="Times New Roman"/>
          <w:sz w:val="24"/>
          <w:szCs w:val="24"/>
        </w:rPr>
        <w:t>r</w:t>
      </w:r>
      <w:r w:rsidR="00BB5A1E">
        <w:rPr>
          <w:rFonts w:ascii="Times New Roman" w:hAnsi="Times New Roman" w:cs="Times New Roman"/>
          <w:sz w:val="24"/>
          <w:szCs w:val="24"/>
        </w:rPr>
        <w:t>c</w:t>
      </w:r>
      <w:r w:rsidR="004A29CD">
        <w:rPr>
          <w:rFonts w:ascii="Times New Roman" w:hAnsi="Times New Roman" w:cs="Times New Roman"/>
          <w:sz w:val="24"/>
          <w:szCs w:val="24"/>
        </w:rPr>
        <w:t>h</w:t>
      </w:r>
      <w:r w:rsidR="00BB5A1E">
        <w:rPr>
          <w:rFonts w:ascii="Times New Roman" w:hAnsi="Times New Roman" w:cs="Times New Roman"/>
          <w:sz w:val="24"/>
          <w:szCs w:val="24"/>
        </w:rPr>
        <w:t xml:space="preserve"> to August 2023 </w:t>
      </w:r>
      <w:r w:rsidR="00AD01F2">
        <w:rPr>
          <w:rFonts w:ascii="Times New Roman" w:hAnsi="Times New Roman" w:cs="Times New Roman"/>
          <w:sz w:val="24"/>
          <w:szCs w:val="24"/>
        </w:rPr>
        <w:t>developed in</w:t>
      </w:r>
      <w:r w:rsidR="009D6E63">
        <w:rPr>
          <w:rFonts w:ascii="Times New Roman" w:hAnsi="Times New Roman" w:cs="Times New Roman"/>
          <w:sz w:val="24"/>
          <w:szCs w:val="24"/>
        </w:rPr>
        <w:t xml:space="preserve"> the Planning Phase of this project.</w:t>
      </w:r>
      <w:r w:rsidR="00442702">
        <w:rPr>
          <w:rFonts w:ascii="Times New Roman" w:hAnsi="Times New Roman" w:cs="Times New Roman"/>
          <w:sz w:val="24"/>
          <w:szCs w:val="24"/>
        </w:rPr>
        <w:t xml:space="preserve"> </w:t>
      </w:r>
      <w:r w:rsidR="000238BA">
        <w:rPr>
          <w:rFonts w:ascii="Times New Roman" w:hAnsi="Times New Roman" w:cs="Times New Roman"/>
          <w:sz w:val="24"/>
          <w:szCs w:val="24"/>
        </w:rPr>
        <w:t xml:space="preserve">Development of the education materials and the training website will be done concurrently. </w:t>
      </w:r>
      <w:r w:rsidR="00442702">
        <w:rPr>
          <w:rFonts w:ascii="Times New Roman" w:hAnsi="Times New Roman" w:cs="Times New Roman"/>
          <w:sz w:val="24"/>
          <w:szCs w:val="24"/>
        </w:rPr>
        <w:t>S</w:t>
      </w:r>
      <w:r w:rsidR="00532519" w:rsidRPr="009D6E63">
        <w:rPr>
          <w:rFonts w:ascii="Times New Roman" w:hAnsi="Times New Roman" w:cs="Times New Roman"/>
          <w:sz w:val="24"/>
          <w:szCs w:val="24"/>
        </w:rPr>
        <w:t xml:space="preserve">essions </w:t>
      </w:r>
      <w:r w:rsidR="00442702">
        <w:rPr>
          <w:rFonts w:ascii="Times New Roman" w:hAnsi="Times New Roman" w:cs="Times New Roman"/>
          <w:sz w:val="24"/>
          <w:szCs w:val="24"/>
        </w:rPr>
        <w:t xml:space="preserve">will be conducted </w:t>
      </w:r>
      <w:r w:rsidR="00E42769">
        <w:rPr>
          <w:rFonts w:ascii="Times New Roman" w:hAnsi="Times New Roman" w:cs="Times New Roman"/>
          <w:sz w:val="24"/>
          <w:szCs w:val="24"/>
        </w:rPr>
        <w:t xml:space="preserve">within the MOH Malaysia’s facilities to save cost. These session are conducted </w:t>
      </w:r>
      <w:r w:rsidR="00532519" w:rsidRPr="009D6E63">
        <w:rPr>
          <w:rFonts w:ascii="Times New Roman" w:hAnsi="Times New Roman" w:cs="Times New Roman"/>
          <w:sz w:val="24"/>
          <w:szCs w:val="24"/>
        </w:rPr>
        <w:t>to develop the education materials</w:t>
      </w:r>
      <w:r w:rsidR="00442702">
        <w:rPr>
          <w:rFonts w:ascii="Times New Roman" w:hAnsi="Times New Roman" w:cs="Times New Roman"/>
          <w:sz w:val="24"/>
          <w:szCs w:val="24"/>
        </w:rPr>
        <w:t xml:space="preserve"> identified and steps will be taken to get </w:t>
      </w:r>
      <w:r w:rsidR="00E42769">
        <w:rPr>
          <w:rFonts w:ascii="Times New Roman" w:hAnsi="Times New Roman" w:cs="Times New Roman"/>
          <w:sz w:val="24"/>
          <w:szCs w:val="24"/>
        </w:rPr>
        <w:t xml:space="preserve">needed </w:t>
      </w:r>
      <w:r w:rsidR="00442702">
        <w:rPr>
          <w:rFonts w:ascii="Times New Roman" w:hAnsi="Times New Roman" w:cs="Times New Roman"/>
          <w:sz w:val="24"/>
          <w:szCs w:val="24"/>
        </w:rPr>
        <w:t>permission and to</w:t>
      </w:r>
      <w:r w:rsidR="00532519" w:rsidRPr="009D6E63">
        <w:rPr>
          <w:rFonts w:ascii="Times New Roman" w:hAnsi="Times New Roman" w:cs="Times New Roman"/>
          <w:sz w:val="24"/>
          <w:szCs w:val="24"/>
        </w:rPr>
        <w:t xml:space="preserve"> de</w:t>
      </w:r>
      <w:r w:rsidR="00F62BD0" w:rsidRPr="009D6E63">
        <w:rPr>
          <w:rFonts w:ascii="Times New Roman" w:hAnsi="Times New Roman" w:cs="Times New Roman"/>
          <w:sz w:val="24"/>
          <w:szCs w:val="24"/>
        </w:rPr>
        <w:t>velop a secure training website</w:t>
      </w:r>
      <w:r w:rsidR="00442702">
        <w:rPr>
          <w:rFonts w:ascii="Times New Roman" w:hAnsi="Times New Roman" w:cs="Times New Roman"/>
          <w:sz w:val="24"/>
          <w:szCs w:val="24"/>
        </w:rPr>
        <w:t xml:space="preserve"> for this project.</w:t>
      </w:r>
      <w:r w:rsidR="00E42769">
        <w:rPr>
          <w:rFonts w:ascii="Times New Roman" w:hAnsi="Times New Roman" w:cs="Times New Roman"/>
          <w:sz w:val="24"/>
          <w:szCs w:val="24"/>
        </w:rPr>
        <w:t xml:space="preserve"> The website will be a subdomain of the MOH Malaysia website at </w:t>
      </w:r>
      <w:hyperlink r:id="rId11" w:history="1">
        <w:r w:rsidR="00E42769" w:rsidRPr="004C214E">
          <w:rPr>
            <w:rStyle w:val="Hyperlink"/>
            <w:rFonts w:ascii="Times New Roman" w:hAnsi="Times New Roman" w:cs="Times New Roman"/>
            <w:sz w:val="24"/>
            <w:szCs w:val="24"/>
          </w:rPr>
          <w:t>www.moh.gov.my</w:t>
        </w:r>
      </w:hyperlink>
      <w:r w:rsidR="00E42769">
        <w:rPr>
          <w:rFonts w:ascii="Times New Roman" w:hAnsi="Times New Roman" w:cs="Times New Roman"/>
          <w:sz w:val="24"/>
          <w:szCs w:val="24"/>
        </w:rPr>
        <w:t xml:space="preserve">. After the completion of the website, Teleprimary Care Section, Family Health Development Division will be in change to manage and update the website. </w:t>
      </w:r>
      <w:r w:rsidR="00BB5A1E">
        <w:rPr>
          <w:rFonts w:ascii="Times New Roman" w:hAnsi="Times New Roman" w:cs="Times New Roman"/>
          <w:sz w:val="24"/>
          <w:szCs w:val="24"/>
        </w:rPr>
        <w:t>Pa</w:t>
      </w:r>
      <w:r w:rsidR="002346BC">
        <w:rPr>
          <w:rFonts w:ascii="Times New Roman" w:hAnsi="Times New Roman" w:cs="Times New Roman"/>
          <w:sz w:val="24"/>
          <w:szCs w:val="24"/>
        </w:rPr>
        <w:t>rticipants in the Development</w:t>
      </w:r>
      <w:r w:rsidR="00BB5A1E">
        <w:rPr>
          <w:rFonts w:ascii="Times New Roman" w:hAnsi="Times New Roman" w:cs="Times New Roman"/>
          <w:sz w:val="24"/>
          <w:szCs w:val="24"/>
        </w:rPr>
        <w:t xml:space="preserve"> Phase are as below:</w:t>
      </w:r>
    </w:p>
    <w:p w:rsidR="00BB5A1E" w:rsidRPr="00F8289C" w:rsidRDefault="00BB5A1E" w:rsidP="00AB15E5">
      <w:pPr>
        <w:pStyle w:val="ListParagraph"/>
        <w:numPr>
          <w:ilvl w:val="0"/>
          <w:numId w:val="12"/>
        </w:numPr>
        <w:spacing w:line="360" w:lineRule="auto"/>
        <w:jc w:val="both"/>
        <w:rPr>
          <w:rFonts w:ascii="Times New Roman" w:hAnsi="Times New Roman" w:cs="Times New Roman"/>
          <w:sz w:val="24"/>
          <w:szCs w:val="24"/>
        </w:rPr>
      </w:pPr>
      <w:r w:rsidRPr="00F8289C">
        <w:rPr>
          <w:rFonts w:ascii="Times New Roman" w:hAnsi="Times New Roman" w:cs="Times New Roman"/>
          <w:sz w:val="24"/>
          <w:szCs w:val="24"/>
        </w:rPr>
        <w:t>Champions from all 7 states which have TPC-OHCIS</w:t>
      </w:r>
    </w:p>
    <w:p w:rsidR="00BB5A1E" w:rsidRPr="00F8289C" w:rsidRDefault="00BB5A1E" w:rsidP="00AB15E5">
      <w:pPr>
        <w:pStyle w:val="ListParagraph"/>
        <w:numPr>
          <w:ilvl w:val="0"/>
          <w:numId w:val="12"/>
        </w:numPr>
        <w:spacing w:line="360" w:lineRule="auto"/>
        <w:jc w:val="both"/>
        <w:rPr>
          <w:rFonts w:ascii="Times New Roman" w:hAnsi="Times New Roman" w:cs="Times New Roman"/>
          <w:sz w:val="24"/>
          <w:szCs w:val="24"/>
        </w:rPr>
      </w:pPr>
      <w:r w:rsidRPr="00F8289C">
        <w:rPr>
          <w:rFonts w:ascii="Times New Roman" w:hAnsi="Times New Roman" w:cs="Times New Roman"/>
          <w:sz w:val="24"/>
          <w:szCs w:val="24"/>
        </w:rPr>
        <w:t>Health Education Officers</w:t>
      </w:r>
    </w:p>
    <w:p w:rsidR="00BB5A1E" w:rsidRPr="00F8289C" w:rsidRDefault="00BB5A1E" w:rsidP="00AB15E5">
      <w:pPr>
        <w:pStyle w:val="ListParagraph"/>
        <w:numPr>
          <w:ilvl w:val="0"/>
          <w:numId w:val="12"/>
        </w:numPr>
        <w:spacing w:line="360" w:lineRule="auto"/>
        <w:jc w:val="both"/>
        <w:rPr>
          <w:rFonts w:ascii="Times New Roman" w:hAnsi="Times New Roman" w:cs="Times New Roman"/>
          <w:sz w:val="24"/>
          <w:szCs w:val="24"/>
        </w:rPr>
      </w:pPr>
      <w:r w:rsidRPr="00F8289C">
        <w:rPr>
          <w:rFonts w:ascii="Times New Roman" w:hAnsi="Times New Roman" w:cs="Times New Roman"/>
          <w:sz w:val="24"/>
          <w:szCs w:val="24"/>
        </w:rPr>
        <w:t>Allied health workers</w:t>
      </w:r>
    </w:p>
    <w:p w:rsidR="009751CB" w:rsidRPr="00F8289C" w:rsidRDefault="00BB5A1E" w:rsidP="00AB15E5">
      <w:pPr>
        <w:pStyle w:val="ListParagraph"/>
        <w:numPr>
          <w:ilvl w:val="0"/>
          <w:numId w:val="12"/>
        </w:numPr>
        <w:spacing w:line="360" w:lineRule="auto"/>
        <w:jc w:val="both"/>
        <w:rPr>
          <w:rFonts w:ascii="Times New Roman" w:hAnsi="Times New Roman" w:cs="Times New Roman"/>
          <w:sz w:val="24"/>
          <w:szCs w:val="24"/>
        </w:rPr>
      </w:pPr>
      <w:r w:rsidRPr="00F8289C">
        <w:rPr>
          <w:rFonts w:ascii="Times New Roman" w:hAnsi="Times New Roman" w:cs="Times New Roman"/>
          <w:sz w:val="24"/>
          <w:szCs w:val="24"/>
        </w:rPr>
        <w:t>I</w:t>
      </w:r>
      <w:r w:rsidR="00F8289C" w:rsidRPr="00F8289C">
        <w:rPr>
          <w:rFonts w:ascii="Times New Roman" w:hAnsi="Times New Roman" w:cs="Times New Roman"/>
          <w:sz w:val="24"/>
          <w:szCs w:val="24"/>
        </w:rPr>
        <w:t>T officers</w:t>
      </w:r>
    </w:p>
    <w:p w:rsidR="009727EB" w:rsidRPr="007D5D8F" w:rsidRDefault="006D1B54" w:rsidP="007D5D8F">
      <w:pPr>
        <w:rPr>
          <w:rFonts w:ascii="Times New Roman" w:hAnsi="Times New Roman" w:cs="Times New Roman"/>
          <w:sz w:val="24"/>
          <w:szCs w:val="24"/>
        </w:rPr>
      </w:pPr>
      <w:r>
        <w:rPr>
          <w:rFonts w:ascii="Times New Roman" w:hAnsi="Times New Roman" w:cs="Times New Roman"/>
          <w:sz w:val="24"/>
          <w:szCs w:val="24"/>
        </w:rPr>
        <w:br w:type="page"/>
      </w:r>
    </w:p>
    <w:p w:rsidR="009727EB" w:rsidRPr="007D5D8F" w:rsidRDefault="000850E7" w:rsidP="002037E9">
      <w:pPr>
        <w:pStyle w:val="Heading1"/>
        <w:numPr>
          <w:ilvl w:val="0"/>
          <w:numId w:val="13"/>
        </w:numPr>
        <w:ind w:left="426"/>
        <w:rPr>
          <w:rFonts w:ascii="Times New Roman" w:hAnsi="Times New Roman" w:cs="Times New Roman"/>
          <w:b/>
          <w:color w:val="000000" w:themeColor="text1"/>
          <w:sz w:val="24"/>
          <w:szCs w:val="24"/>
        </w:rPr>
      </w:pPr>
      <w:bookmarkStart w:id="6" w:name="_Toc119880498"/>
      <w:r w:rsidRPr="007D5D8F">
        <w:rPr>
          <w:rFonts w:ascii="Times New Roman" w:hAnsi="Times New Roman" w:cs="Times New Roman"/>
          <w:b/>
          <w:color w:val="000000" w:themeColor="text1"/>
          <w:sz w:val="24"/>
          <w:szCs w:val="24"/>
        </w:rPr>
        <w:lastRenderedPageBreak/>
        <w:t>Background</w:t>
      </w:r>
      <w:bookmarkEnd w:id="6"/>
    </w:p>
    <w:p w:rsidR="000850E7" w:rsidRDefault="000850E7" w:rsidP="000850E7"/>
    <w:p w:rsidR="00DF43D3" w:rsidRPr="00DF43D3" w:rsidRDefault="001640FE" w:rsidP="00AB0DD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EHRs</w:t>
      </w:r>
      <w:r w:rsidRPr="001640FE">
        <w:rPr>
          <w:rFonts w:ascii="Times New Roman" w:hAnsi="Times New Roman" w:cs="Times New Roman"/>
          <w:sz w:val="24"/>
          <w:szCs w:val="24"/>
        </w:rPr>
        <w:t xml:space="preserve"> are defined as digitally stored healthcare information throughout an individual’s lifetime with the purpose of supporting continuity of care, education, and research. The EHRs may include such things as; observations, laboratory tests, medical images, treatments, therapies, drugs administered, patient identifying information, legal permissions, and so on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E7332A">
        <w:rPr>
          <w:rFonts w:ascii="Times New Roman" w:hAnsi="Times New Roman" w:cs="Times New Roman"/>
          <w:sz w:val="24"/>
          <w:szCs w:val="24"/>
        </w:rPr>
        <w:instrText>ADDIN CSL_CITATION {"citationItems":[{"id":"ITEM-1","itemData":{"DOI":"10.5455/msm.2013.25.213-215","ISSN":"1512-7680","PMID":"24167440","abstract":"INTRODUCTION During the past 20 years, with huge advances in information technology and particularly in the areas of health, various forms of electronic records have been studied, analyzed, designed or implemented. An Electronic Health Records (EHRs) is defined as digitally stored healthcare information throughout an individual's lifetime with the purpose of supporting continuity of care, education, and research. The EHRs may include such things as observations, laboratory tests, medical images, treatments, therapies; drugs administered, patient identifying information, legal permissions, and so on. Despite of the potential benefits of electronic health records, implement of this project facing with barriers and restriction ,that the most of these limitations are cost constraints, technical limitations, standardization limits, attitudinal constraints-behavior of individuals and organizational constraints. AIM The aim of this study was to express the main barriers to implement EHRs. METHODS This study was unsystematic-review study. The literature was searched on main barriers to implement EHRs with the help of library, books, conference proceedings, data bank, and also searches engines available at Google, Google scholar. For our searches, we employed the following keywords and their combinations: Electronic health record, implement, obstacle, and information technology in the searching areas of title, keywords, abstract, and full text. RESULTS AND DISCUSSION In this study, more than 43 articles and reports were collected and 32 of them were selected based on their relevancy. Many studies indicate that the most important factor than other limitations to implement the EHR are resistance to change.","author":[{"dropping-particle":"","family":"Ajami","given":"Sima","non-dropping-particle":"","parse-names":false,"suffix":""},{"dropping-particle":"","family":"ArabChadegani","given":"Razieh","non-dropping-particle":"","parse-names":false,"suffix":""}],"container-title":"Materia Socio Medica","id":"ITEM-1","issue":"3","issued":{"date-parts":[["2013"]]},"page":"213","title":"Barriers to implement Electronic Health Records (EHRs)","type":"article-journal","volume":"25"},"uris":["http://www.mendeley.com/documents/?uuid=7aabbfef-9b43-4fc6-b373-dd5fc1106446"]}],"mendeley":{"formattedCitation":"(Ajami and ArabChadegani, 2013)","plainTextFormattedCitation":"(Ajami and ArabChadegani, 2013)","previouslyFormattedCitation":"(Ajami and ArabChadegani, 2013)"},"properties":{"noteIndex":0},"schema":"https://github.com/citation-style-language/schema/raw/master/csl-citation.json"}</w:instrText>
      </w:r>
      <w:r>
        <w:rPr>
          <w:rFonts w:ascii="Times New Roman" w:hAnsi="Times New Roman" w:cs="Times New Roman"/>
          <w:sz w:val="24"/>
          <w:szCs w:val="24"/>
        </w:rPr>
        <w:fldChar w:fldCharType="separate"/>
      </w:r>
      <w:r w:rsidRPr="001640FE">
        <w:rPr>
          <w:rFonts w:ascii="Times New Roman" w:hAnsi="Times New Roman" w:cs="Times New Roman"/>
          <w:noProof/>
          <w:sz w:val="24"/>
          <w:szCs w:val="24"/>
        </w:rPr>
        <w:t>(Ajami and ArabChadegani, 2013)</w:t>
      </w:r>
      <w:r>
        <w:rPr>
          <w:rFonts w:ascii="Times New Roman" w:hAnsi="Times New Roman" w:cs="Times New Roman"/>
          <w:sz w:val="24"/>
          <w:szCs w:val="24"/>
        </w:rPr>
        <w:fldChar w:fldCharType="end"/>
      </w:r>
      <w:r w:rsidRPr="001640FE">
        <w:rPr>
          <w:rFonts w:ascii="Times New Roman" w:hAnsi="Times New Roman" w:cs="Times New Roman"/>
          <w:sz w:val="24"/>
          <w:szCs w:val="24"/>
        </w:rPr>
        <w:t xml:space="preserve">. </w:t>
      </w:r>
      <w:r w:rsidR="00B02D14">
        <w:rPr>
          <w:rFonts w:ascii="Times New Roman" w:hAnsi="Times New Roman" w:cs="Times New Roman"/>
          <w:sz w:val="24"/>
          <w:szCs w:val="24"/>
        </w:rPr>
        <w:t xml:space="preserve">EHR is known to facilitate integration of patient health history for planning </w:t>
      </w:r>
      <w:r w:rsidR="00353BA5">
        <w:rPr>
          <w:rFonts w:ascii="Times New Roman" w:hAnsi="Times New Roman" w:cs="Times New Roman"/>
          <w:sz w:val="24"/>
          <w:szCs w:val="24"/>
        </w:rPr>
        <w:t xml:space="preserve">a </w:t>
      </w:r>
      <w:r w:rsidR="00B02D14">
        <w:rPr>
          <w:rFonts w:ascii="Times New Roman" w:hAnsi="Times New Roman" w:cs="Times New Roman"/>
          <w:sz w:val="24"/>
          <w:szCs w:val="24"/>
        </w:rPr>
        <w:t xml:space="preserve">safe and proper treatment </w:t>
      </w:r>
      <w:r w:rsidR="0099294D">
        <w:rPr>
          <w:rFonts w:ascii="Times New Roman" w:hAnsi="Times New Roman" w:cs="Times New Roman"/>
          <w:sz w:val="24"/>
          <w:szCs w:val="24"/>
        </w:rPr>
        <w:t xml:space="preserve">that </w:t>
      </w:r>
      <w:r w:rsidR="00464B30">
        <w:rPr>
          <w:rFonts w:ascii="Times New Roman" w:hAnsi="Times New Roman" w:cs="Times New Roman"/>
          <w:sz w:val="24"/>
          <w:szCs w:val="24"/>
        </w:rPr>
        <w:t xml:space="preserve">ultimately improve patient care </w:t>
      </w:r>
      <w:r w:rsidR="00464B30">
        <w:rPr>
          <w:rFonts w:ascii="Times New Roman" w:hAnsi="Times New Roman" w:cs="Times New Roman"/>
          <w:sz w:val="24"/>
          <w:szCs w:val="24"/>
        </w:rPr>
        <w:fldChar w:fldCharType="begin" w:fldLock="1"/>
      </w:r>
      <w:r w:rsidR="00035C5C">
        <w:rPr>
          <w:rFonts w:ascii="Times New Roman" w:hAnsi="Times New Roman" w:cs="Times New Roman"/>
          <w:sz w:val="24"/>
          <w:szCs w:val="24"/>
        </w:rPr>
        <w:instrText>ADDIN CSL_CITATION {"citationItems":[{"id":"ITEM-1","itemData":{"author":[{"dropping-particle":"","family":"Kohli","given":"R","non-dropping-particle":"","parse-names":false,"suffix":""},{"dropping-particle":"","family":"SSL Tan","given":"","non-dropping-particle":"","parse-names":false,"suffix":""}],"container-title":"JSTOR","id":"ITEM-1","issue":"3","issued":{"date-parts":[["2016"]]},"page":"22","title":"Electronic Health Records","type":"article-journal","volume":"40"},"uris":["http://www.mendeley.com/documents/?uuid=d40005e3-26ab-39ee-9d86-5c615e40e851"]}],"mendeley":{"formattedCitation":"(Kohli and SSL Tan, 2016)","plainTextFormattedCitation":"(Kohli and SSL Tan, 2016)","previouslyFormattedCitation":"(Kohli and SSL Tan, 2016)"},"properties":{"noteIndex":0},"schema":"https://github.com/citation-style-language/schema/raw/master/csl-citation.json"}</w:instrText>
      </w:r>
      <w:r w:rsidR="00464B30">
        <w:rPr>
          <w:rFonts w:ascii="Times New Roman" w:hAnsi="Times New Roman" w:cs="Times New Roman"/>
          <w:sz w:val="24"/>
          <w:szCs w:val="24"/>
        </w:rPr>
        <w:fldChar w:fldCharType="separate"/>
      </w:r>
      <w:r w:rsidR="00464B30" w:rsidRPr="00464B30">
        <w:rPr>
          <w:rFonts w:ascii="Times New Roman" w:hAnsi="Times New Roman" w:cs="Times New Roman"/>
          <w:noProof/>
          <w:sz w:val="24"/>
          <w:szCs w:val="24"/>
        </w:rPr>
        <w:t>(Kohli and SSL Tan, 2016)</w:t>
      </w:r>
      <w:r w:rsidR="00464B30">
        <w:rPr>
          <w:rFonts w:ascii="Times New Roman" w:hAnsi="Times New Roman" w:cs="Times New Roman"/>
          <w:sz w:val="24"/>
          <w:szCs w:val="24"/>
        </w:rPr>
        <w:fldChar w:fldCharType="end"/>
      </w:r>
      <w:r w:rsidR="00035C5C">
        <w:rPr>
          <w:rFonts w:ascii="Times New Roman" w:hAnsi="Times New Roman" w:cs="Times New Roman"/>
          <w:sz w:val="24"/>
          <w:szCs w:val="24"/>
        </w:rPr>
        <w:t xml:space="preserve">. </w:t>
      </w:r>
      <w:r w:rsidR="00DF43D3" w:rsidRPr="00DF43D3">
        <w:rPr>
          <w:rFonts w:ascii="Times New Roman" w:hAnsi="Times New Roman" w:cs="Times New Roman"/>
          <w:sz w:val="24"/>
          <w:szCs w:val="24"/>
        </w:rPr>
        <w:t>Recent stu</w:t>
      </w:r>
      <w:r w:rsidR="00035C5C">
        <w:rPr>
          <w:rFonts w:ascii="Times New Roman" w:hAnsi="Times New Roman" w:cs="Times New Roman"/>
          <w:sz w:val="24"/>
          <w:szCs w:val="24"/>
        </w:rPr>
        <w:t>dies have also shown</w:t>
      </w:r>
      <w:r w:rsidR="00464B30">
        <w:rPr>
          <w:rFonts w:ascii="Times New Roman" w:hAnsi="Times New Roman" w:cs="Times New Roman"/>
          <w:sz w:val="24"/>
          <w:szCs w:val="24"/>
        </w:rPr>
        <w:t xml:space="preserve"> that</w:t>
      </w:r>
      <w:r w:rsidR="00DF43D3">
        <w:rPr>
          <w:rFonts w:ascii="Times New Roman" w:hAnsi="Times New Roman" w:cs="Times New Roman"/>
          <w:sz w:val="24"/>
          <w:szCs w:val="24"/>
        </w:rPr>
        <w:t xml:space="preserve"> </w:t>
      </w:r>
      <w:r w:rsidR="00464B30">
        <w:rPr>
          <w:rFonts w:ascii="Times New Roman" w:hAnsi="Times New Roman" w:cs="Times New Roman"/>
          <w:sz w:val="24"/>
          <w:szCs w:val="24"/>
        </w:rPr>
        <w:t>EHR</w:t>
      </w:r>
      <w:r w:rsidR="00035C5C">
        <w:rPr>
          <w:rFonts w:ascii="Times New Roman" w:hAnsi="Times New Roman" w:cs="Times New Roman"/>
          <w:sz w:val="24"/>
          <w:szCs w:val="24"/>
        </w:rPr>
        <w:t xml:space="preserve"> have the ability to</w:t>
      </w:r>
      <w:r w:rsidR="00C13140">
        <w:rPr>
          <w:rFonts w:ascii="Times New Roman" w:hAnsi="Times New Roman" w:cs="Times New Roman"/>
          <w:sz w:val="24"/>
          <w:szCs w:val="24"/>
        </w:rPr>
        <w:t xml:space="preserve"> lead to</w:t>
      </w:r>
      <w:r w:rsidR="00464B30">
        <w:rPr>
          <w:rFonts w:ascii="Times New Roman" w:hAnsi="Times New Roman" w:cs="Times New Roman"/>
          <w:sz w:val="24"/>
          <w:szCs w:val="24"/>
        </w:rPr>
        <w:t xml:space="preserve"> best-practices</w:t>
      </w:r>
      <w:r w:rsidR="000A3EA2">
        <w:rPr>
          <w:rFonts w:ascii="Times New Roman" w:hAnsi="Times New Roman" w:cs="Times New Roman"/>
          <w:sz w:val="24"/>
          <w:szCs w:val="24"/>
        </w:rPr>
        <w:t xml:space="preserve"> and</w:t>
      </w:r>
      <w:r w:rsidR="00035C5C">
        <w:rPr>
          <w:rFonts w:ascii="Times New Roman" w:hAnsi="Times New Roman" w:cs="Times New Roman"/>
          <w:sz w:val="24"/>
          <w:szCs w:val="24"/>
        </w:rPr>
        <w:t xml:space="preserve"> more </w:t>
      </w:r>
      <w:r w:rsidR="00464B30">
        <w:rPr>
          <w:rFonts w:ascii="Times New Roman" w:hAnsi="Times New Roman" w:cs="Times New Roman"/>
          <w:sz w:val="24"/>
          <w:szCs w:val="24"/>
        </w:rPr>
        <w:t>screening</w:t>
      </w:r>
      <w:r w:rsidR="00C13140">
        <w:rPr>
          <w:rFonts w:ascii="Times New Roman" w:hAnsi="Times New Roman" w:cs="Times New Roman"/>
          <w:sz w:val="24"/>
          <w:szCs w:val="24"/>
        </w:rPr>
        <w:t>s</w:t>
      </w:r>
      <w:r w:rsidR="00035C5C">
        <w:rPr>
          <w:rFonts w:ascii="Times New Roman" w:hAnsi="Times New Roman" w:cs="Times New Roman"/>
          <w:sz w:val="24"/>
          <w:szCs w:val="24"/>
        </w:rPr>
        <w:t xml:space="preserve"> </w:t>
      </w:r>
      <w:r w:rsidR="00035C5C">
        <w:rPr>
          <w:rFonts w:ascii="Times New Roman" w:hAnsi="Times New Roman" w:cs="Times New Roman"/>
          <w:sz w:val="24"/>
          <w:szCs w:val="24"/>
        </w:rPr>
        <w:fldChar w:fldCharType="begin" w:fldLock="1"/>
      </w:r>
      <w:r w:rsidR="00B9475F">
        <w:rPr>
          <w:rFonts w:ascii="Times New Roman" w:hAnsi="Times New Roman" w:cs="Times New Roman"/>
          <w:sz w:val="24"/>
          <w:szCs w:val="24"/>
        </w:rPr>
        <w:instrText>ADDIN CSL_CITATION {"citationItems":[{"id":"ITEM-1","itemData":{"DOI":"10.1016/J.JCHF.2021.03.006","ISSN":"22131779","PMID":"33992566","abstract":"Heart failure (HF) is one of the most common causes of hospitalization in the United States and carries a significant risk of morbidity and mortality. Use of evidence-based interventions may improve outcomes, but their use is encumbered in part by limitations in accurate prognostication. The REVeAL-HF (Risk EValuation And its Impact on ClinicAL Decision Making and Outcomes in Heart Failure) trial is the first to definitively evaluate the impact of knowledge about prognosis on clinical decision making and patient outcomes. The REVeAL-HF trial is a pragmatic, completely electronic, randomized controlled trial that has completed enrollment of 3,124 adults hospitalized for HF, defined as having an N-terminal pro–B-type natriuretic peptide level of &gt;500 pg/ml and receiving intravenous diuretic agents within 24 h of admission. Patients randomized to the intervention had their risk of 1-year mortality generated with information in the electronic health record and presented to their providers, who had the option to give feedback on their impression of this risk assessment. The authors are examining the impact of this information on clinical decision-making (use of HF pharmacotherapies, referral to electrophysiology, palliative care referral, and referral for advanced therapies like heart transplantation or mechanical circulatory support) and patient outcomes (length of stay, post-discharge 30-day rehospitalizations, and 1-year mortality). The REVeAL-HF trial will definitively examine whether knowledge about prognosis in HF has an impact on clinical decision making and patient outcomes. It will also examine the relationship between calculated, perceived, and real risk of mortality in this patient population. (Risk EValuation And Its Impact on ClinicAL Decision Making and Outcomes in Heart Failure [REVeAL-HF]; NCT03845660).","author":[{"dropping-particle":"","family":"Ahmad","given":"Tariq","non-dropping-particle":"","parse-names":false,"suffix":""},{"dropping-particle":"","family":"Yamamoto","given":"Yu","non-dropping-particle":"","parse-names":false,"suffix":""},{"dropping-particle":"","family":"Biswas","given":"Aditya","non-dropping-particle":"","parse-names":false,"suffix":""},{"dropping-particle":"","family":"Ghazi","given":"Lama","non-dropping-particle":"","parse-names":false,"suffix":""},{"dropping-particle":"","family":"Martin","given":"Melissa","non-dropping-particle":"","parse-names":false,"suffix":""},{"dropping-particle":"","family":"Simonov","given":"Michael","non-dropping-particle":"","parse-names":false,"suffix":""},{"dropping-particle":"","family":"Hsiao","given":"Allen","non-dropping-particle":"","parse-names":false,"suffix":""},{"dropping-particle":"","family":"Kashyap","given":"Nitu","non-dropping-particle":"","parse-names":false,"suffix":""},{"dropping-particle":"","family":"Velazquez","given":"Eric J.","non-dropping-particle":"","parse-names":false,"suffix":""},{"dropping-particle":"","family":"Desai","given":"Nihar R.","non-dropping-particle":"","parse-names":false,"suffix":""},{"dropping-particle":"","family":"Wilson","given":"F. Perry","non-dropping-particle":"","parse-names":false,"suffix":""}],"container-title":"JACC: Heart Failure","id":"ITEM-1","issue":"6","issued":{"date-parts":[["2021","6","1"]]},"page":"409-419","publisher":"Elsevier Inc.","title":"REVeAL-HF: Design and Rationale of a Pragmatic Randomized Controlled Trial Embedded Within Routine Clinical Practice","type":"article-journal","volume":"9"},"uris":["http://www.mendeley.com/documents/?uuid=5b210260-5971-3f29-aef6-1b64b1425fa0"]},{"id":"ITEM-2","itemData":{"DOI":"10.1186/1940-0640-10-S2-O47","author":[{"dropping-particle":"","family":"Tindol","given":"George Allen","non-dropping-particle":"","parse-names":false,"suffix":""},{"dropping-particle":"","family":"Gonzales","given":"Krista","non-dropping-particle":"","parse-names":false,"suffix":""},{"dropping-particle":"","family":"Sedarati","given":"Kasra","non-dropping-particle":"","parse-names":false,"suffix":""},{"dropping-particle":"","family":"Smith","given":"Cara","non-dropping-particle":"","parse-names":false,"suffix":""}],"container-title":"Addiction Science &amp; Clinical Practice","id":"ITEM-2","issue":"S2","issued":{"date-parts":[["2015","12"]]},"publisher":"Springer Science and Business Media LLC","title":"Incorporating validated alcohol and drug screening instruments in the electronic health record","type":"article-journal","volume":"10"},"uris":["http://www.mendeley.com/documents/?uuid=4cdc50e9-727a-3132-bb61-feb8da7caee8"]}],"mendeley":{"formattedCitation":"(Tindol &lt;i&gt;et al.&lt;/i&gt;, 2015; Ahmad &lt;i&gt;et al.&lt;/i&gt;, 2021)","plainTextFormattedCitation":"(Tindol et al., 2015; Ahmad et al., 2021)","previouslyFormattedCitation":"(Tindol &lt;i&gt;et al.&lt;/i&gt;, 2015; Ahmad &lt;i&gt;et al.&lt;/i&gt;, 2021)"},"properties":{"noteIndex":0},"schema":"https://github.com/citation-style-language/schema/raw/master/csl-citation.json"}</w:instrText>
      </w:r>
      <w:r w:rsidR="00035C5C">
        <w:rPr>
          <w:rFonts w:ascii="Times New Roman" w:hAnsi="Times New Roman" w:cs="Times New Roman"/>
          <w:sz w:val="24"/>
          <w:szCs w:val="24"/>
        </w:rPr>
        <w:fldChar w:fldCharType="separate"/>
      </w:r>
      <w:r w:rsidR="00035C5C" w:rsidRPr="00035C5C">
        <w:rPr>
          <w:rFonts w:ascii="Times New Roman" w:hAnsi="Times New Roman" w:cs="Times New Roman"/>
          <w:noProof/>
          <w:sz w:val="24"/>
          <w:szCs w:val="24"/>
        </w:rPr>
        <w:t xml:space="preserve">(Tindol </w:t>
      </w:r>
      <w:r w:rsidR="00035C5C" w:rsidRPr="00C13140">
        <w:rPr>
          <w:rFonts w:ascii="Times New Roman" w:hAnsi="Times New Roman" w:cs="Times New Roman"/>
          <w:noProof/>
          <w:sz w:val="24"/>
          <w:szCs w:val="24"/>
        </w:rPr>
        <w:t>et al.</w:t>
      </w:r>
      <w:r w:rsidR="00035C5C" w:rsidRPr="00035C5C">
        <w:rPr>
          <w:rFonts w:ascii="Times New Roman" w:hAnsi="Times New Roman" w:cs="Times New Roman"/>
          <w:noProof/>
          <w:sz w:val="24"/>
          <w:szCs w:val="24"/>
        </w:rPr>
        <w:t xml:space="preserve">, 2015; Ahmad </w:t>
      </w:r>
      <w:r w:rsidR="00035C5C" w:rsidRPr="00C13140">
        <w:rPr>
          <w:rFonts w:ascii="Times New Roman" w:hAnsi="Times New Roman" w:cs="Times New Roman"/>
          <w:noProof/>
          <w:sz w:val="24"/>
          <w:szCs w:val="24"/>
        </w:rPr>
        <w:t>et al.</w:t>
      </w:r>
      <w:r w:rsidR="00035C5C" w:rsidRPr="00035C5C">
        <w:rPr>
          <w:rFonts w:ascii="Times New Roman" w:hAnsi="Times New Roman" w:cs="Times New Roman"/>
          <w:noProof/>
          <w:sz w:val="24"/>
          <w:szCs w:val="24"/>
        </w:rPr>
        <w:t>, 2021)</w:t>
      </w:r>
      <w:r w:rsidR="00035C5C">
        <w:rPr>
          <w:rFonts w:ascii="Times New Roman" w:hAnsi="Times New Roman" w:cs="Times New Roman"/>
          <w:sz w:val="24"/>
          <w:szCs w:val="24"/>
        </w:rPr>
        <w:fldChar w:fldCharType="end"/>
      </w:r>
      <w:r w:rsidR="00035C5C">
        <w:rPr>
          <w:rFonts w:ascii="Times New Roman" w:hAnsi="Times New Roman" w:cs="Times New Roman"/>
          <w:sz w:val="24"/>
          <w:szCs w:val="24"/>
        </w:rPr>
        <w:t>.</w:t>
      </w:r>
      <w:r w:rsidR="00723FF6" w:rsidRPr="00723FF6">
        <w:t xml:space="preserve"> </w:t>
      </w:r>
      <w:r w:rsidR="00723FF6" w:rsidRPr="00723FF6">
        <w:rPr>
          <w:rFonts w:ascii="Times New Roman" w:hAnsi="Times New Roman" w:cs="Times New Roman"/>
          <w:sz w:val="24"/>
          <w:szCs w:val="24"/>
        </w:rPr>
        <w:t>Federal efforts and local initiatives to increase adoption and us</w:t>
      </w:r>
      <w:r w:rsidR="00723FF6">
        <w:rPr>
          <w:rFonts w:ascii="Times New Roman" w:hAnsi="Times New Roman" w:cs="Times New Roman"/>
          <w:sz w:val="24"/>
          <w:szCs w:val="24"/>
        </w:rPr>
        <w:t>e of EHR</w:t>
      </w:r>
      <w:r w:rsidR="00723FF6" w:rsidRPr="00723FF6">
        <w:rPr>
          <w:rFonts w:ascii="Times New Roman" w:hAnsi="Times New Roman" w:cs="Times New Roman"/>
          <w:sz w:val="24"/>
          <w:szCs w:val="24"/>
        </w:rPr>
        <w:t xml:space="preserve"> continue</w:t>
      </w:r>
      <w:r w:rsidR="00723FF6">
        <w:rPr>
          <w:rFonts w:ascii="Times New Roman" w:hAnsi="Times New Roman" w:cs="Times New Roman"/>
          <w:sz w:val="24"/>
          <w:szCs w:val="24"/>
        </w:rPr>
        <w:t xml:space="preserve">s </w:t>
      </w:r>
      <w:r w:rsidR="00723FF6">
        <w:rPr>
          <w:rFonts w:ascii="Times New Roman" w:hAnsi="Times New Roman" w:cs="Times New Roman"/>
          <w:sz w:val="24"/>
          <w:szCs w:val="24"/>
        </w:rPr>
        <w:fldChar w:fldCharType="begin" w:fldLock="1"/>
      </w:r>
      <w:r w:rsidR="00FD2E25">
        <w:rPr>
          <w:rFonts w:ascii="Times New Roman" w:hAnsi="Times New Roman" w:cs="Times New Roman"/>
          <w:sz w:val="24"/>
          <w:szCs w:val="24"/>
        </w:rPr>
        <w:instrText>ADDIN CSL_CITATION {"citationItems":[{"id":"ITEM-1","itemData":{"DOI":"10.1007/s10916-016-0628-9","ISSN":"1573689X","PMID":"27714560","abstract":"Federal efforts and local initiatives to increase adoption and use of electronic health records (EHRs) continue, particularly since the enactment of the Health Information Technology for Economic and Clinical Health (HITECH) Act. Roughly one in four hospitals not adopted even a basic EHR system. A review of the barriers may help in understanding the factors deterring certain healthcare organizations from implementation. We wanted to assemble an updated and comprehensive list of adoption barriers of EHR systems in the United States. Authors searched CINAHL, MEDLINE, and Google Scholar, and accepted only articles relevant to our primary objective. Reviewers independently assessed the works highlighted by our search and selected several for review. Through multiple consensus meetings, authors tapered articles to a final selection most germane to the topic (n = 27). Each article was thoroughly examined by multiple authors in order to achieve greater validity. Authors identified 39 barriers to EHR adoption within the literature selected for the review. These barriers appeared 125 times in the literature; the most frequently mentioned barriers were regarding cost, technical concerns, technical support, and resistance to change. Despite federal and local incentives, the initial cost of adopting an EHR is a common existing barrier. The other most commonly mentioned barriers include technical support, technical concerns, and maintenance/ongoing costs. Policy makers should consider incentives that continue to reduce implementation cost, possibly aimed more directly at organizations that are known to have lower adoption rates, such as small hospitals in rural areas.","author":[{"dropping-particle":"","family":"Kruse","given":"Clemens Scott","non-dropping-particle":"","parse-names":false,"suffix":""},{"dropping-particle":"","family":"Kristof","given":"Caitlin","non-dropping-particle":"","parse-names":false,"suffix":""},{"dropping-particle":"","family":"Jones","given":"Beau","non-dropping-particle":"","parse-names":false,"suffix":""},{"dropping-particle":"","family":"Mitchell","given":"Erica","non-dropping-particle":"","parse-names":false,"suffix":""},{"dropping-particle":"","family":"Martinez","given":"Angelica","non-dropping-particle":"","parse-names":false,"suffix":""}],"container-title":"Journal of Medical Systems","id":"ITEM-1","issue":"12","issued":{"date-parts":[["2016","12","1"]]},"publisher":"Springer New York LLC","title":"Barriers to Electronic Health Record Adoption: a Systematic Literature Review","type":"article-journal","volume":"40"},"uris":["http://www.mendeley.com/documents/?uuid=08756b20-de59-3792-9b19-d8bff59e7d27"]}],"mendeley":{"formattedCitation":"(Kruse &lt;i&gt;et al.&lt;/i&gt;, 2016)","plainTextFormattedCitation":"(Kruse et al., 2016)","previouslyFormattedCitation":"(Kruse &lt;i&gt;et al.&lt;/i&gt;, 2016)"},"properties":{"noteIndex":0},"schema":"https://github.com/citation-style-language/schema/raw/master/csl-citation.json"}</w:instrText>
      </w:r>
      <w:r w:rsidR="00723FF6">
        <w:rPr>
          <w:rFonts w:ascii="Times New Roman" w:hAnsi="Times New Roman" w:cs="Times New Roman"/>
          <w:sz w:val="24"/>
          <w:szCs w:val="24"/>
        </w:rPr>
        <w:fldChar w:fldCharType="separate"/>
      </w:r>
      <w:r w:rsidR="00723FF6" w:rsidRPr="00723FF6">
        <w:rPr>
          <w:rFonts w:ascii="Times New Roman" w:hAnsi="Times New Roman" w:cs="Times New Roman"/>
          <w:noProof/>
          <w:sz w:val="24"/>
          <w:szCs w:val="24"/>
        </w:rPr>
        <w:t xml:space="preserve">(Kruse </w:t>
      </w:r>
      <w:r w:rsidR="00723FF6" w:rsidRPr="00B42A9F">
        <w:rPr>
          <w:rFonts w:ascii="Times New Roman" w:hAnsi="Times New Roman" w:cs="Times New Roman"/>
          <w:noProof/>
          <w:sz w:val="24"/>
          <w:szCs w:val="24"/>
        </w:rPr>
        <w:t>et al.</w:t>
      </w:r>
      <w:r w:rsidR="00723FF6" w:rsidRPr="00723FF6">
        <w:rPr>
          <w:rFonts w:ascii="Times New Roman" w:hAnsi="Times New Roman" w:cs="Times New Roman"/>
          <w:noProof/>
          <w:sz w:val="24"/>
          <w:szCs w:val="24"/>
        </w:rPr>
        <w:t>, 2016)</w:t>
      </w:r>
      <w:r w:rsidR="00723FF6">
        <w:rPr>
          <w:rFonts w:ascii="Times New Roman" w:hAnsi="Times New Roman" w:cs="Times New Roman"/>
          <w:sz w:val="24"/>
          <w:szCs w:val="24"/>
        </w:rPr>
        <w:fldChar w:fldCharType="end"/>
      </w:r>
      <w:r w:rsidR="00FD2E25">
        <w:rPr>
          <w:rFonts w:ascii="Times New Roman" w:hAnsi="Times New Roman" w:cs="Times New Roman"/>
          <w:sz w:val="24"/>
          <w:szCs w:val="24"/>
        </w:rPr>
        <w:t xml:space="preserve"> for its known benefits of </w:t>
      </w:r>
      <w:r w:rsidR="00FD2E25" w:rsidRPr="00FD2E25">
        <w:rPr>
          <w:rFonts w:ascii="Times New Roman" w:hAnsi="Times New Roman" w:cs="Times New Roman"/>
          <w:sz w:val="24"/>
          <w:szCs w:val="24"/>
        </w:rPr>
        <w:t>reduce medical errors, provide more effective methods of communicating and sharing information among clinicians, lower national health care costs, better manage patient medical records, and improve coordination of care and health care quality</w:t>
      </w:r>
      <w:r w:rsidR="00FD2E25">
        <w:rPr>
          <w:rFonts w:ascii="Times New Roman" w:hAnsi="Times New Roman" w:cs="Times New Roman"/>
          <w:sz w:val="24"/>
          <w:szCs w:val="24"/>
        </w:rPr>
        <w:t xml:space="preserve"> </w:t>
      </w:r>
      <w:r w:rsidR="00FD2E25">
        <w:rPr>
          <w:rFonts w:ascii="Times New Roman" w:hAnsi="Times New Roman" w:cs="Times New Roman"/>
          <w:sz w:val="24"/>
          <w:szCs w:val="24"/>
        </w:rPr>
        <w:fldChar w:fldCharType="begin" w:fldLock="1"/>
      </w:r>
      <w:r w:rsidR="006A21BC">
        <w:rPr>
          <w:rFonts w:ascii="Times New Roman" w:hAnsi="Times New Roman" w:cs="Times New Roman"/>
          <w:sz w:val="24"/>
          <w:szCs w:val="24"/>
        </w:rPr>
        <w:instrText>ADDIN CSL_CITATION {"citationItems":[{"id":"ITEM-1","itemData":{"DOI":"10.5455/aim.2013.21.129-134","ISSN":"03538109","abstract":"Introduction: Electronic Medical Records (EMRs) are computerized medical information systems that collect, store and display patient information. They are means to create legible and organized recordings and to access clinical information about individual patients. Despite of the positive effects of the EMRs usage in medical practices, the adoption rate of such systems is still low and meets resistance from physicians. The EHRs represent an essential tool for improving both in the safety and quality of health care, though physicians must actively use these systems to accrue the benefits. This study was unsystematic-review. Aim: The aim of this study was to express barriers perceived y physicians to the adoption of the EHRs. Method of the study: This study was non-systematic reviewed which the literature was searched on barriers perceived by physicians to the adoption of Electronic Health Records (EHRs) with the help of library, books, conference proceedings, data bank, and also searches engines available at Google, Google scholar. Discussion: For our searches, we employed the following keywords and their combinations: physicians, electronic medical record, electronic health record, barrier, and adoption in the searching areas of title, keywords, abstract, and full text. In this study, more than 100 articles and reports were collected and 27 of them were selected based on their relevancy. Electronic health record use requires the presence of certain user and system attributes, support from others, and numerous organizational and environment facilitators. © AVICENA 2013.","author":[{"dropping-particle":"","family":"Ajami","given":"Sima","non-dropping-particle":"","parse-names":false,"suffix":""},{"dropping-particle":"","family":"Bagheri-Tadi","given":"Tayyebe","non-dropping-particle":"","parse-names":false,"suffix":""}],"container-title":"Acta Informatica Medica","id":"ITEM-1","issue":"2","issued":{"date-parts":[["2013"]]},"page":"129-134","title":"Barriers for adopting electronic health records (EHRs) by physicians","type":"article-journal","volume":"21"},"uris":["http://www.mendeley.com/documents/?uuid=b6aabfa1-8427-4a15-b550-0e996af23d30"]},{"id":"ITEM-2","itemData":{"DOI":"10.4338/ACI-2013-02-RA-0015","ISSN":"18690327","PMID":"23874360","abstract":"Objective: Efforts to promote adoption of electronic health records (EHRs) have focused on primary care physicians, who are now expected to exchange data electronically with other providers, including specialists. However, the variation of EHR adoption among specialists is underexplored. Methods: We conducted a retrospective cross-sectional study to determine the association between physician specialty and the prevalence of EHR adoption, and a retrospective serial cross-sectional study to determine the association of physician specialty and the rate of EHR adoption over time. We used the 2005-2009 National Ambulatory Medical Care Survey. We considered fourteen specialties, and four definitions of EHR adoption (any EHR, basic EHR, full EHR, and a novel definition of EHR sophistication). We used multivariable logistic regression, and adjusted for several covariates (geography, practice characteristics, revenue characteristics, physician degree). Results: Physician specialty was significantly associated with EHR adoption, regardless of the EHR definition, after adjusting for covariates. Psychiatrists, dermatologists, pediatricians, ophthalmologists, and general surgeons were significantly less likely to adopt EHRs, compared to the reference group of family medicine / general practitioners. After adjustment for covariates, these specialties were 44 - 94% less likely to adopt EHRs than the reference group. EHR adoption increased in all specialties, by approximately 40% per year. The rate of EHR adoption over time did not significantly vary by specialty. Conclusions: Although EHR adoption is increasing in all specialties, adoption varies widely by specialty. In order to insure each individual's network of providers can electronically share data, widespread adoption of EHRs is needed across all specialties. © Schattauer 2013.","author":[{"dropping-particle":"","family":"Grinspan","given":"Zachary M.","non-dropping-particle":"","parse-names":false,"suffix":""},{"dropping-particle":"","family":"Banerjee","given":"S.","non-dropping-particle":"","parse-names":false,"suffix":""},{"dropping-particle":"","family":"Kaushal","given":"R.","non-dropping-particle":"","parse-names":false,"suffix":""},{"dropping-particle":"","family":"Kern","given":"L. M.","non-dropping-particle":"","parse-names":false,"suffix":""}],"container-title":"Applied Clinical Informatics","id":"ITEM-2","issue":"2","issued":{"date-parts":[["2013"]]},"page":"225-240","title":"Physician specialty and variations in adoption of electronic health records","type":"article-journal","volume":"4"},"uris":["http://www.mendeley.com/documents/?uuid=fe557db0-9b15-4441-86c2-28663f58e8eb"]}],"mendeley":{"formattedCitation":"(Ajami and Bagheri-Tadi, 2013; Grinspan &lt;i&gt;et al.&lt;/i&gt;, 2013)","plainTextFormattedCitation":"(Ajami and Bagheri-Tadi, 2013; Grinspan et al., 2013)","previouslyFormattedCitation":"(Ajami and Bagheri-Tadi, 2013; Grinspan &lt;i&gt;et al.&lt;/i&gt;, 2013)"},"properties":{"noteIndex":0},"schema":"https://github.com/citation-style-language/schema/raw/master/csl-citation.json"}</w:instrText>
      </w:r>
      <w:r w:rsidR="00FD2E25">
        <w:rPr>
          <w:rFonts w:ascii="Times New Roman" w:hAnsi="Times New Roman" w:cs="Times New Roman"/>
          <w:sz w:val="24"/>
          <w:szCs w:val="24"/>
        </w:rPr>
        <w:fldChar w:fldCharType="separate"/>
      </w:r>
      <w:r w:rsidR="00FD2E25" w:rsidRPr="00FD2E25">
        <w:rPr>
          <w:rFonts w:ascii="Times New Roman" w:hAnsi="Times New Roman" w:cs="Times New Roman"/>
          <w:noProof/>
          <w:sz w:val="24"/>
          <w:szCs w:val="24"/>
        </w:rPr>
        <w:t xml:space="preserve">(Ajami and Bagheri-Tadi, 2013; Grinspan </w:t>
      </w:r>
      <w:r w:rsidR="00FD2E25" w:rsidRPr="00C13140">
        <w:rPr>
          <w:rFonts w:ascii="Times New Roman" w:hAnsi="Times New Roman" w:cs="Times New Roman"/>
          <w:noProof/>
          <w:sz w:val="24"/>
          <w:szCs w:val="24"/>
        </w:rPr>
        <w:t>et al.</w:t>
      </w:r>
      <w:r w:rsidR="00FD2E25" w:rsidRPr="00FD2E25">
        <w:rPr>
          <w:rFonts w:ascii="Times New Roman" w:hAnsi="Times New Roman" w:cs="Times New Roman"/>
          <w:noProof/>
          <w:sz w:val="24"/>
          <w:szCs w:val="24"/>
        </w:rPr>
        <w:t>, 2013)</w:t>
      </w:r>
      <w:r w:rsidR="00FD2E25">
        <w:rPr>
          <w:rFonts w:ascii="Times New Roman" w:hAnsi="Times New Roman" w:cs="Times New Roman"/>
          <w:sz w:val="24"/>
          <w:szCs w:val="24"/>
        </w:rPr>
        <w:fldChar w:fldCharType="end"/>
      </w:r>
    </w:p>
    <w:p w:rsidR="00D56717" w:rsidRPr="00A84EC1" w:rsidRDefault="00A84EC1" w:rsidP="00AB0DDA">
      <w:pPr>
        <w:spacing w:line="360" w:lineRule="auto"/>
        <w:ind w:firstLine="720"/>
        <w:jc w:val="both"/>
        <w:rPr>
          <w:rFonts w:ascii="Times New Roman" w:hAnsi="Times New Roman" w:cs="Times New Roman"/>
          <w:sz w:val="24"/>
          <w:szCs w:val="24"/>
        </w:rPr>
      </w:pPr>
      <w:r w:rsidRPr="00A84EC1">
        <w:rPr>
          <w:rFonts w:ascii="Times New Roman" w:hAnsi="Times New Roman" w:cs="Times New Roman"/>
          <w:sz w:val="24"/>
          <w:szCs w:val="24"/>
        </w:rPr>
        <w:t>The Mal</w:t>
      </w:r>
      <w:r w:rsidR="00892381">
        <w:rPr>
          <w:rFonts w:ascii="Times New Roman" w:hAnsi="Times New Roman" w:cs="Times New Roman"/>
          <w:sz w:val="24"/>
          <w:szCs w:val="24"/>
        </w:rPr>
        <w:t>aysian government introduced</w:t>
      </w:r>
      <w:r w:rsidRPr="00A84EC1">
        <w:rPr>
          <w:rFonts w:ascii="Times New Roman" w:hAnsi="Times New Roman" w:cs="Times New Roman"/>
          <w:sz w:val="24"/>
          <w:szCs w:val="24"/>
        </w:rPr>
        <w:t xml:space="preserve"> digitalization in its go</w:t>
      </w:r>
      <w:r w:rsidR="00892381">
        <w:rPr>
          <w:rFonts w:ascii="Times New Roman" w:hAnsi="Times New Roman" w:cs="Times New Roman"/>
          <w:sz w:val="24"/>
          <w:szCs w:val="24"/>
        </w:rPr>
        <w:t>vernment health clinics through</w:t>
      </w:r>
      <w:r w:rsidR="00734041">
        <w:rPr>
          <w:rFonts w:ascii="Times New Roman" w:hAnsi="Times New Roman" w:cs="Times New Roman"/>
          <w:sz w:val="24"/>
          <w:szCs w:val="24"/>
        </w:rPr>
        <w:t xml:space="preserve"> EHR</w:t>
      </w:r>
      <w:r w:rsidRPr="00A84EC1">
        <w:rPr>
          <w:rFonts w:ascii="Times New Roman" w:hAnsi="Times New Roman" w:cs="Times New Roman"/>
          <w:sz w:val="24"/>
          <w:szCs w:val="24"/>
        </w:rPr>
        <w:t xml:space="preserve"> which is named Teleprimary Care (TPC) system in 2005 and in dental clinics known as Oral Health Clinical Information System (OHCIS) in 2009. These two systems were later combined to become the Teleprimary Care – Oral Health Clinical Information System (TPC-OHCIS) in 2017 with the goal of increasing </w:t>
      </w:r>
      <w:r w:rsidR="00892381">
        <w:rPr>
          <w:rFonts w:ascii="Times New Roman" w:hAnsi="Times New Roman" w:cs="Times New Roman"/>
          <w:sz w:val="24"/>
          <w:szCs w:val="24"/>
        </w:rPr>
        <w:t xml:space="preserve">the </w:t>
      </w:r>
      <w:r w:rsidRPr="00A84EC1">
        <w:rPr>
          <w:rFonts w:ascii="Times New Roman" w:hAnsi="Times New Roman" w:cs="Times New Roman"/>
          <w:sz w:val="24"/>
          <w:szCs w:val="24"/>
        </w:rPr>
        <w:t>efficiency of healthcare delivery and ensuring continuity of care from “womb to tomb”. Out of 1069, 102 government heal</w:t>
      </w:r>
      <w:r w:rsidR="0012379A">
        <w:rPr>
          <w:rFonts w:ascii="Times New Roman" w:hAnsi="Times New Roman" w:cs="Times New Roman"/>
          <w:sz w:val="24"/>
          <w:szCs w:val="24"/>
        </w:rPr>
        <w:t>th clinics in Malaysia have</w:t>
      </w:r>
      <w:r>
        <w:rPr>
          <w:rFonts w:ascii="Times New Roman" w:hAnsi="Times New Roman" w:cs="Times New Roman"/>
          <w:sz w:val="24"/>
          <w:szCs w:val="24"/>
        </w:rPr>
        <w:t xml:space="preserve"> EHR. </w:t>
      </w:r>
      <w:r w:rsidRPr="00A84EC1">
        <w:rPr>
          <w:rFonts w:ascii="Times New Roman" w:hAnsi="Times New Roman" w:cs="Times New Roman"/>
          <w:sz w:val="24"/>
          <w:szCs w:val="24"/>
        </w:rPr>
        <w:t>TPC-OHCIS is a cloud-based EHR system that allows any provider in its 102 government health clinics using the system to access patient records via a centralized database.</w:t>
      </w:r>
      <w:r w:rsidR="001D795E">
        <w:rPr>
          <w:rFonts w:ascii="Times New Roman" w:hAnsi="Times New Roman" w:cs="Times New Roman"/>
          <w:sz w:val="24"/>
          <w:szCs w:val="24"/>
        </w:rPr>
        <w:t xml:space="preserve"> Its expansion</w:t>
      </w:r>
      <w:r w:rsidR="00453B8E">
        <w:rPr>
          <w:rFonts w:ascii="Times New Roman" w:hAnsi="Times New Roman" w:cs="Times New Roman"/>
          <w:sz w:val="24"/>
          <w:szCs w:val="24"/>
        </w:rPr>
        <w:t xml:space="preserve"> to more government health clinics</w:t>
      </w:r>
      <w:r w:rsidR="001D795E">
        <w:rPr>
          <w:rFonts w:ascii="Times New Roman" w:hAnsi="Times New Roman" w:cs="Times New Roman"/>
          <w:sz w:val="24"/>
          <w:szCs w:val="24"/>
        </w:rPr>
        <w:t xml:space="preserve"> is part of MOH Malaysia Digitalization Strategic Plan 2021-2025</w:t>
      </w:r>
      <w:r w:rsidR="001A4833">
        <w:rPr>
          <w:rFonts w:ascii="Times New Roman" w:hAnsi="Times New Roman" w:cs="Times New Roman"/>
          <w:sz w:val="24"/>
          <w:szCs w:val="24"/>
        </w:rPr>
        <w:t xml:space="preserve"> towards the development of a Lifetime Health Record for Malaysians </w:t>
      </w:r>
      <w:r w:rsidR="001A4833">
        <w:rPr>
          <w:rFonts w:ascii="Times New Roman" w:hAnsi="Times New Roman" w:cs="Times New Roman"/>
          <w:sz w:val="24"/>
          <w:szCs w:val="24"/>
        </w:rPr>
        <w:fldChar w:fldCharType="begin" w:fldLock="1"/>
      </w:r>
      <w:r w:rsidR="001A4833">
        <w:rPr>
          <w:rFonts w:ascii="Times New Roman" w:hAnsi="Times New Roman" w:cs="Times New Roman"/>
          <w:sz w:val="24"/>
          <w:szCs w:val="24"/>
        </w:rPr>
        <w:instrText>ADDIN CSL_CITATION {"citationItems":[{"id":"ITEM-1","itemData":{"author":[{"dropping-particle":"","family":"Ministry of Health Malaysia","given":"","non-dropping-particle":"","parse-names":false,"suffix":""}],"id":"ITEM-1","issued":{"date-parts":[["2021"]]},"number-of-pages":"201","publisher-place":"Putrajaya","title":"Digitalization Strategic Plan 2021-2025","type":"book"},"uris":["http://www.mendeley.com/documents/?uuid=16c96893-513f-4b66-8351-cd01408d8922"]},{"id":"ITEM-2","itemData":{"DOI":"10.1504/IJEH.2008.018922","ISSN":"17418461","PMID":"18583297","abstract":"An integrated Lifetime Health Record (LHR) is fundamental for achieving seamless and continuous access to patient medical information and for the continuum of care. However, the aim has not yet been fully realised. The efforts are actively progressing around the globe. Every stage of the development of the LHR initiatives had presented peculiar challenges. The best lessons in life are those of someone else's experiences. This paper presents an overview of the development approaches undertaken by four East Asian countries in implementing a national Electronic Health Record (EHR) in the public health system. The major challenges elicited from the review including integration efforts, process reengineering, funding, people, and law and regulation will be presented, compared, discussed and used as lessons learned for the further development of the Malaysian integrated LHR. Copyright © 2008 Inderscience Enterprises Ltd.","author":[{"dropping-particle":"","family":"Ghani","given":"Mohd Khanapi Abd","non-dropping-particle":"","parse-names":false,"suffix":""},{"dropping-particle":"","family":"Bali","given":"Rajeev K.","non-dropping-particle":"","parse-names":false,"suffix":""},{"dropping-particle":"","family":"Naguib","given":"Raouf N.G.","non-dropping-particle":"","parse-names":false,"suffix":""},{"dropping-particle":"","family":"Marshall","given":"Ian M.","non-dropping-particle":"","parse-names":false,"suffix":""},{"dropping-particle":"","family":"Wickramasinghe","given":"Nilmini S.","non-dropping-particle":"","parse-names":false,"suffix":""}],"container-title":"International Journal of Electronic Healthcare","id":"ITEM-2","issue":"1","issued":{"date-parts":[["2008"]]},"page":"78-104","publisher":"Inderscience Publishers","title":"Electronic health records approaches and challenges: A comparison between Malaysia and four East Asian countries","type":"article-journal","volume":"4"},"uris":["http://www.mendeley.com/documents/?uuid=801951fb-d620-373a-abb5-eb4820534b2a"]}],"mendeley":{"formattedCitation":"(Ghani &lt;i&gt;et al.&lt;/i&gt;, 2008; Ministry of Health Malaysia, 2021)","plainTextFormattedCitation":"(Ghani et al., 2008; Ministry of Health Malaysia, 2021)"},"properties":{"noteIndex":0},"schema":"https://github.com/citation-style-language/schema/raw/master/csl-citation.json"}</w:instrText>
      </w:r>
      <w:r w:rsidR="001A4833">
        <w:rPr>
          <w:rFonts w:ascii="Times New Roman" w:hAnsi="Times New Roman" w:cs="Times New Roman"/>
          <w:sz w:val="24"/>
          <w:szCs w:val="24"/>
        </w:rPr>
        <w:fldChar w:fldCharType="separate"/>
      </w:r>
      <w:r w:rsidR="001A4833" w:rsidRPr="001A4833">
        <w:rPr>
          <w:rFonts w:ascii="Times New Roman" w:hAnsi="Times New Roman" w:cs="Times New Roman"/>
          <w:noProof/>
          <w:sz w:val="24"/>
          <w:szCs w:val="24"/>
        </w:rPr>
        <w:t xml:space="preserve">(Ghani </w:t>
      </w:r>
      <w:r w:rsidR="001A4833" w:rsidRPr="00C13140">
        <w:rPr>
          <w:rFonts w:ascii="Times New Roman" w:hAnsi="Times New Roman" w:cs="Times New Roman"/>
          <w:noProof/>
          <w:sz w:val="24"/>
          <w:szCs w:val="24"/>
        </w:rPr>
        <w:t>et al.</w:t>
      </w:r>
      <w:r w:rsidR="001A4833" w:rsidRPr="001A4833">
        <w:rPr>
          <w:rFonts w:ascii="Times New Roman" w:hAnsi="Times New Roman" w:cs="Times New Roman"/>
          <w:noProof/>
          <w:sz w:val="24"/>
          <w:szCs w:val="24"/>
        </w:rPr>
        <w:t>, 2008; Ministry of Health Malaysia, 2021)</w:t>
      </w:r>
      <w:r w:rsidR="001A4833">
        <w:rPr>
          <w:rFonts w:ascii="Times New Roman" w:hAnsi="Times New Roman" w:cs="Times New Roman"/>
          <w:sz w:val="24"/>
          <w:szCs w:val="24"/>
        </w:rPr>
        <w:fldChar w:fldCharType="end"/>
      </w:r>
      <w:r w:rsidR="001D795E">
        <w:rPr>
          <w:rFonts w:ascii="Times New Roman" w:hAnsi="Times New Roman" w:cs="Times New Roman"/>
          <w:sz w:val="24"/>
          <w:szCs w:val="24"/>
        </w:rPr>
        <w:t>.</w:t>
      </w:r>
      <w:r w:rsidRPr="00A84EC1">
        <w:rPr>
          <w:rFonts w:ascii="Times New Roman" w:hAnsi="Times New Roman" w:cs="Times New Roman"/>
          <w:sz w:val="24"/>
          <w:szCs w:val="24"/>
        </w:rPr>
        <w:t xml:space="preserve"> The users </w:t>
      </w:r>
      <w:r w:rsidR="0023223D">
        <w:rPr>
          <w:rFonts w:ascii="Times New Roman" w:hAnsi="Times New Roman" w:cs="Times New Roman"/>
          <w:sz w:val="24"/>
          <w:szCs w:val="24"/>
        </w:rPr>
        <w:t xml:space="preserve">of </w:t>
      </w:r>
      <w:r w:rsidRPr="00A84EC1">
        <w:rPr>
          <w:rFonts w:ascii="Times New Roman" w:hAnsi="Times New Roman" w:cs="Times New Roman"/>
          <w:sz w:val="24"/>
          <w:szCs w:val="24"/>
        </w:rPr>
        <w:t>TPC-OHCIS are end-to-end of the primary healthcare service in the government health clinics which include multiple c</w:t>
      </w:r>
      <w:r w:rsidR="006D4D54">
        <w:rPr>
          <w:rFonts w:ascii="Times New Roman" w:hAnsi="Times New Roman" w:cs="Times New Roman"/>
          <w:sz w:val="24"/>
          <w:szCs w:val="24"/>
        </w:rPr>
        <w:t>ategories of healthcare workers:</w:t>
      </w:r>
      <w:r w:rsidRPr="00A84EC1">
        <w:rPr>
          <w:rFonts w:ascii="Times New Roman" w:hAnsi="Times New Roman" w:cs="Times New Roman"/>
          <w:sz w:val="24"/>
          <w:szCs w:val="24"/>
        </w:rPr>
        <w:t xml:space="preserve"> paramedic</w:t>
      </w:r>
      <w:r w:rsidR="006D4D54">
        <w:rPr>
          <w:rFonts w:ascii="Times New Roman" w:hAnsi="Times New Roman" w:cs="Times New Roman"/>
          <w:sz w:val="24"/>
          <w:szCs w:val="24"/>
        </w:rPr>
        <w:t>s</w:t>
      </w:r>
      <w:r w:rsidRPr="00A84EC1">
        <w:rPr>
          <w:rFonts w:ascii="Times New Roman" w:hAnsi="Times New Roman" w:cs="Times New Roman"/>
          <w:sz w:val="24"/>
          <w:szCs w:val="24"/>
        </w:rPr>
        <w:t xml:space="preserve"> at the triage counter</w:t>
      </w:r>
      <w:r w:rsidR="006D4D54">
        <w:rPr>
          <w:rFonts w:ascii="Times New Roman" w:hAnsi="Times New Roman" w:cs="Times New Roman"/>
          <w:sz w:val="24"/>
          <w:szCs w:val="24"/>
        </w:rPr>
        <w:t xml:space="preserve"> and </w:t>
      </w:r>
      <w:r w:rsidR="008D6043" w:rsidRPr="00A84EC1">
        <w:rPr>
          <w:rFonts w:ascii="Times New Roman" w:hAnsi="Times New Roman" w:cs="Times New Roman"/>
          <w:sz w:val="24"/>
          <w:szCs w:val="24"/>
        </w:rPr>
        <w:t>at the procedure rooms</w:t>
      </w:r>
      <w:r w:rsidR="008D6043">
        <w:rPr>
          <w:rFonts w:ascii="Times New Roman" w:hAnsi="Times New Roman" w:cs="Times New Roman"/>
          <w:sz w:val="24"/>
          <w:szCs w:val="24"/>
        </w:rPr>
        <w:t xml:space="preserve">, </w:t>
      </w:r>
      <w:r w:rsidRPr="00A84EC1">
        <w:rPr>
          <w:rFonts w:ascii="Times New Roman" w:hAnsi="Times New Roman" w:cs="Times New Roman"/>
          <w:sz w:val="24"/>
          <w:szCs w:val="24"/>
        </w:rPr>
        <w:t>clerk</w:t>
      </w:r>
      <w:r w:rsidR="008D6043">
        <w:rPr>
          <w:rFonts w:ascii="Times New Roman" w:hAnsi="Times New Roman" w:cs="Times New Roman"/>
          <w:sz w:val="24"/>
          <w:szCs w:val="24"/>
        </w:rPr>
        <w:t>s</w:t>
      </w:r>
      <w:r w:rsidRPr="00A84EC1">
        <w:rPr>
          <w:rFonts w:ascii="Times New Roman" w:hAnsi="Times New Roman" w:cs="Times New Roman"/>
          <w:sz w:val="24"/>
          <w:szCs w:val="24"/>
        </w:rPr>
        <w:t xml:space="preserve"> a</w:t>
      </w:r>
      <w:r w:rsidR="008D6043">
        <w:rPr>
          <w:rFonts w:ascii="Times New Roman" w:hAnsi="Times New Roman" w:cs="Times New Roman"/>
          <w:sz w:val="24"/>
          <w:szCs w:val="24"/>
        </w:rPr>
        <w:t xml:space="preserve">t the registration counter, </w:t>
      </w:r>
      <w:r w:rsidRPr="00A84EC1">
        <w:rPr>
          <w:rFonts w:ascii="Times New Roman" w:hAnsi="Times New Roman" w:cs="Times New Roman"/>
          <w:sz w:val="24"/>
          <w:szCs w:val="24"/>
        </w:rPr>
        <w:t>nurses in the nurses’ stations, paramedics, doctors in consultation rooms</w:t>
      </w:r>
      <w:r w:rsidR="00B70115">
        <w:rPr>
          <w:rFonts w:ascii="Times New Roman" w:hAnsi="Times New Roman" w:cs="Times New Roman"/>
          <w:sz w:val="24"/>
          <w:szCs w:val="24"/>
        </w:rPr>
        <w:t>,</w:t>
      </w:r>
      <w:r w:rsidRPr="00A84EC1">
        <w:rPr>
          <w:rFonts w:ascii="Times New Roman" w:hAnsi="Times New Roman" w:cs="Times New Roman"/>
          <w:sz w:val="24"/>
          <w:szCs w:val="24"/>
        </w:rPr>
        <w:t xml:space="preserve"> and medical lab technician</w:t>
      </w:r>
      <w:r w:rsidR="008D6043">
        <w:rPr>
          <w:rFonts w:ascii="Times New Roman" w:hAnsi="Times New Roman" w:cs="Times New Roman"/>
          <w:sz w:val="24"/>
          <w:szCs w:val="24"/>
        </w:rPr>
        <w:t>s</w:t>
      </w:r>
      <w:r w:rsidRPr="00A84EC1">
        <w:rPr>
          <w:rFonts w:ascii="Times New Roman" w:hAnsi="Times New Roman" w:cs="Times New Roman"/>
          <w:sz w:val="24"/>
          <w:szCs w:val="24"/>
        </w:rPr>
        <w:t xml:space="preserve"> in the laboratory with e</w:t>
      </w:r>
      <w:r w:rsidR="008D6043">
        <w:rPr>
          <w:rFonts w:ascii="Times New Roman" w:hAnsi="Times New Roman" w:cs="Times New Roman"/>
          <w:sz w:val="24"/>
          <w:szCs w:val="24"/>
        </w:rPr>
        <w:t>ach healthcare worker having</w:t>
      </w:r>
      <w:r w:rsidRPr="00A84EC1">
        <w:rPr>
          <w:rFonts w:ascii="Times New Roman" w:hAnsi="Times New Roman" w:cs="Times New Roman"/>
          <w:sz w:val="24"/>
          <w:szCs w:val="24"/>
        </w:rPr>
        <w:t xml:space="preserve"> their specific set of functions.</w:t>
      </w:r>
    </w:p>
    <w:p w:rsidR="00F93CC9" w:rsidRDefault="00D56717" w:rsidP="00F93CC9">
      <w:pPr>
        <w:spacing w:line="360" w:lineRule="auto"/>
        <w:ind w:firstLine="720"/>
        <w:jc w:val="both"/>
        <w:rPr>
          <w:rFonts w:ascii="Times New Roman" w:hAnsi="Times New Roman" w:cs="Times New Roman"/>
          <w:i/>
          <w:sz w:val="24"/>
          <w:szCs w:val="24"/>
        </w:rPr>
      </w:pPr>
      <w:r>
        <w:rPr>
          <w:rFonts w:ascii="Times New Roman" w:hAnsi="Times New Roman" w:cs="Times New Roman"/>
          <w:sz w:val="24"/>
          <w:szCs w:val="24"/>
        </w:rPr>
        <w:t>M</w:t>
      </w:r>
      <w:r w:rsidRPr="00D56717">
        <w:rPr>
          <w:rFonts w:ascii="Times New Roman" w:hAnsi="Times New Roman" w:cs="Times New Roman"/>
          <w:sz w:val="24"/>
          <w:szCs w:val="24"/>
        </w:rPr>
        <w:t xml:space="preserve">onitoring </w:t>
      </w:r>
      <w:r>
        <w:rPr>
          <w:rFonts w:ascii="Times New Roman" w:hAnsi="Times New Roman" w:cs="Times New Roman"/>
          <w:sz w:val="24"/>
          <w:szCs w:val="24"/>
        </w:rPr>
        <w:t xml:space="preserve">of the usage of TPC-OHCIS at the Outpatient Department in government health clinics from 1 April 2022 to 30 September 2022 saw an average of 72.7%. </w:t>
      </w:r>
      <w:r w:rsidR="0064612C">
        <w:rPr>
          <w:rFonts w:ascii="Times New Roman" w:hAnsi="Times New Roman" w:cs="Times New Roman"/>
          <w:sz w:val="24"/>
          <w:szCs w:val="24"/>
        </w:rPr>
        <w:t>The u</w:t>
      </w:r>
      <w:r>
        <w:rPr>
          <w:rFonts w:ascii="Times New Roman" w:hAnsi="Times New Roman" w:cs="Times New Roman"/>
          <w:sz w:val="24"/>
          <w:szCs w:val="24"/>
        </w:rPr>
        <w:t>sage</w:t>
      </w:r>
      <w:r w:rsidR="0064612C">
        <w:rPr>
          <w:rFonts w:ascii="Times New Roman" w:hAnsi="Times New Roman" w:cs="Times New Roman"/>
          <w:sz w:val="24"/>
          <w:szCs w:val="24"/>
        </w:rPr>
        <w:t xml:space="preserve"> </w:t>
      </w:r>
      <w:r w:rsidR="00E72186">
        <w:rPr>
          <w:rFonts w:ascii="Times New Roman" w:hAnsi="Times New Roman" w:cs="Times New Roman"/>
          <w:sz w:val="24"/>
          <w:szCs w:val="24"/>
        </w:rPr>
        <w:lastRenderedPageBreak/>
        <w:t>was</w:t>
      </w:r>
      <w:r>
        <w:rPr>
          <w:rFonts w:ascii="Times New Roman" w:hAnsi="Times New Roman" w:cs="Times New Roman"/>
          <w:sz w:val="24"/>
          <w:szCs w:val="24"/>
        </w:rPr>
        <w:t xml:space="preserve"> as low as 4.1% to </w:t>
      </w:r>
      <w:r w:rsidR="0064612C">
        <w:rPr>
          <w:rFonts w:ascii="Times New Roman" w:hAnsi="Times New Roman" w:cs="Times New Roman"/>
          <w:sz w:val="24"/>
          <w:szCs w:val="24"/>
        </w:rPr>
        <w:t xml:space="preserve">as high as </w:t>
      </w:r>
      <w:r w:rsidR="00E72186">
        <w:rPr>
          <w:rFonts w:ascii="Times New Roman" w:hAnsi="Times New Roman" w:cs="Times New Roman"/>
          <w:sz w:val="24"/>
          <w:szCs w:val="24"/>
        </w:rPr>
        <w:t>98.2%. Thirty</w:t>
      </w:r>
      <w:r>
        <w:rPr>
          <w:rFonts w:ascii="Times New Roman" w:hAnsi="Times New Roman" w:cs="Times New Roman"/>
          <w:sz w:val="24"/>
          <w:szCs w:val="24"/>
        </w:rPr>
        <w:t xml:space="preserve"> </w:t>
      </w:r>
      <w:r w:rsidR="00F01002">
        <w:rPr>
          <w:rFonts w:ascii="Times New Roman" w:hAnsi="Times New Roman" w:cs="Times New Roman"/>
          <w:sz w:val="24"/>
          <w:szCs w:val="24"/>
        </w:rPr>
        <w:t xml:space="preserve">out of the 100 </w:t>
      </w:r>
      <w:r>
        <w:rPr>
          <w:rFonts w:ascii="Times New Roman" w:hAnsi="Times New Roman" w:cs="Times New Roman"/>
          <w:sz w:val="24"/>
          <w:szCs w:val="24"/>
        </w:rPr>
        <w:t xml:space="preserve">of the </w:t>
      </w:r>
      <w:r w:rsidR="00F01002">
        <w:rPr>
          <w:rFonts w:ascii="Times New Roman" w:hAnsi="Times New Roman" w:cs="Times New Roman"/>
          <w:sz w:val="24"/>
          <w:szCs w:val="24"/>
        </w:rPr>
        <w:t xml:space="preserve">health </w:t>
      </w:r>
      <w:r>
        <w:rPr>
          <w:rFonts w:ascii="Times New Roman" w:hAnsi="Times New Roman" w:cs="Times New Roman"/>
          <w:sz w:val="24"/>
          <w:szCs w:val="24"/>
        </w:rPr>
        <w:t>clinic</w:t>
      </w:r>
      <w:r w:rsidR="00F01002">
        <w:rPr>
          <w:rFonts w:ascii="Times New Roman" w:hAnsi="Times New Roman" w:cs="Times New Roman"/>
          <w:sz w:val="24"/>
          <w:szCs w:val="24"/>
        </w:rPr>
        <w:t xml:space="preserve"> monitored</w:t>
      </w:r>
      <w:r>
        <w:rPr>
          <w:rFonts w:ascii="Times New Roman" w:hAnsi="Times New Roman" w:cs="Times New Roman"/>
          <w:sz w:val="24"/>
          <w:szCs w:val="24"/>
        </w:rPr>
        <w:t xml:space="preserve"> achieved less than 70% TPC-OHCIS usage</w:t>
      </w:r>
      <w:r w:rsidR="0001764E">
        <w:rPr>
          <w:rFonts w:ascii="Times New Roman" w:hAnsi="Times New Roman" w:cs="Times New Roman"/>
          <w:sz w:val="24"/>
          <w:szCs w:val="24"/>
        </w:rPr>
        <w:t xml:space="preserve"> which is the target percentage of usage by MOH Malaysia and this must be improved</w:t>
      </w:r>
      <w:r>
        <w:rPr>
          <w:rFonts w:ascii="Times New Roman" w:hAnsi="Times New Roman" w:cs="Times New Roman"/>
          <w:sz w:val="24"/>
          <w:szCs w:val="24"/>
        </w:rPr>
        <w:t xml:space="preserve">. </w:t>
      </w:r>
      <w:r w:rsidR="0064612C">
        <w:rPr>
          <w:rFonts w:ascii="Times New Roman" w:hAnsi="Times New Roman" w:cs="Times New Roman"/>
          <w:sz w:val="24"/>
          <w:szCs w:val="24"/>
        </w:rPr>
        <w:t>There are several reasons for</w:t>
      </w:r>
      <w:r w:rsidR="00A840FA">
        <w:rPr>
          <w:rFonts w:ascii="Times New Roman" w:hAnsi="Times New Roman" w:cs="Times New Roman"/>
          <w:sz w:val="24"/>
          <w:szCs w:val="24"/>
        </w:rPr>
        <w:t xml:space="preserve"> the low usage of TPC-OHCIS such as</w:t>
      </w:r>
      <w:r w:rsidR="0064612C">
        <w:rPr>
          <w:rFonts w:ascii="Times New Roman" w:hAnsi="Times New Roman" w:cs="Times New Roman"/>
          <w:sz w:val="24"/>
          <w:szCs w:val="24"/>
        </w:rPr>
        <w:t xml:space="preserve"> the lack of hardwa</w:t>
      </w:r>
      <w:r w:rsidR="003B2B5C">
        <w:rPr>
          <w:rFonts w:ascii="Times New Roman" w:hAnsi="Times New Roman" w:cs="Times New Roman"/>
          <w:sz w:val="24"/>
          <w:szCs w:val="24"/>
        </w:rPr>
        <w:t>re with sufficient</w:t>
      </w:r>
      <w:r w:rsidR="0064612C">
        <w:rPr>
          <w:rFonts w:ascii="Times New Roman" w:hAnsi="Times New Roman" w:cs="Times New Roman"/>
          <w:sz w:val="24"/>
          <w:szCs w:val="24"/>
        </w:rPr>
        <w:t xml:space="preserve"> specifications for the proper usage of this system, unclear policy of Electronic Medical Record system to be used at the clinic</w:t>
      </w:r>
      <w:r w:rsidR="00B70115">
        <w:rPr>
          <w:rFonts w:ascii="Times New Roman" w:hAnsi="Times New Roman" w:cs="Times New Roman"/>
          <w:sz w:val="24"/>
          <w:szCs w:val="24"/>
        </w:rPr>
        <w:t>, and</w:t>
      </w:r>
      <w:r w:rsidR="0064612C">
        <w:rPr>
          <w:rFonts w:ascii="Times New Roman" w:hAnsi="Times New Roman" w:cs="Times New Roman"/>
          <w:sz w:val="24"/>
          <w:szCs w:val="24"/>
        </w:rPr>
        <w:t xml:space="preserve"> poor user training coverage</w:t>
      </w:r>
      <w:r w:rsidR="0001764E">
        <w:rPr>
          <w:rFonts w:ascii="Times New Roman" w:hAnsi="Times New Roman" w:cs="Times New Roman"/>
          <w:sz w:val="24"/>
          <w:szCs w:val="24"/>
        </w:rPr>
        <w:t xml:space="preserve">. </w:t>
      </w:r>
    </w:p>
    <w:p w:rsidR="002C2D90" w:rsidRPr="00905355" w:rsidRDefault="00857622" w:rsidP="0090535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c</w:t>
      </w:r>
      <w:r w:rsidR="00F75D14" w:rsidRPr="00F93CC9">
        <w:rPr>
          <w:rFonts w:ascii="Times New Roman" w:hAnsi="Times New Roman" w:cs="Times New Roman"/>
          <w:sz w:val="24"/>
          <w:szCs w:val="24"/>
        </w:rPr>
        <w:t>urrent</w:t>
      </w:r>
      <w:r w:rsidR="00457060">
        <w:rPr>
          <w:rFonts w:ascii="Times New Roman" w:hAnsi="Times New Roman" w:cs="Times New Roman"/>
          <w:sz w:val="24"/>
          <w:szCs w:val="24"/>
        </w:rPr>
        <w:t xml:space="preserve"> TPC-OHCIS user training </w:t>
      </w:r>
      <w:r>
        <w:rPr>
          <w:rFonts w:ascii="Times New Roman" w:hAnsi="Times New Roman" w:cs="Times New Roman"/>
          <w:sz w:val="24"/>
          <w:szCs w:val="24"/>
        </w:rPr>
        <w:t>is</w:t>
      </w:r>
      <w:r w:rsidR="00C13140">
        <w:rPr>
          <w:rFonts w:ascii="Times New Roman" w:hAnsi="Times New Roman" w:cs="Times New Roman"/>
          <w:sz w:val="24"/>
          <w:szCs w:val="24"/>
        </w:rPr>
        <w:t xml:space="preserve"> three</w:t>
      </w:r>
      <w:r w:rsidR="00DF43D3" w:rsidRPr="00DF43D3">
        <w:rPr>
          <w:rFonts w:ascii="Times New Roman" w:hAnsi="Times New Roman" w:cs="Times New Roman"/>
          <w:sz w:val="24"/>
          <w:szCs w:val="24"/>
        </w:rPr>
        <w:t xml:space="preserve"> days,</w:t>
      </w:r>
      <w:r w:rsidR="00F93CC9">
        <w:rPr>
          <w:rFonts w:ascii="Times New Roman" w:hAnsi="Times New Roman" w:cs="Times New Roman"/>
          <w:sz w:val="24"/>
          <w:szCs w:val="24"/>
        </w:rPr>
        <w:t xml:space="preserve"> on specific dates </w:t>
      </w:r>
      <w:r w:rsidR="00F93CC9" w:rsidRPr="00F93CC9">
        <w:rPr>
          <w:rFonts w:ascii="Times New Roman" w:hAnsi="Times New Roman" w:cs="Times New Roman"/>
          <w:sz w:val="24"/>
          <w:szCs w:val="24"/>
        </w:rPr>
        <w:t>classroom-based trainer of trainer (TOT) and cascade approach</w:t>
      </w:r>
      <w:r w:rsidR="00ED338C">
        <w:rPr>
          <w:rFonts w:ascii="Times New Roman" w:hAnsi="Times New Roman" w:cs="Times New Roman"/>
          <w:sz w:val="24"/>
          <w:szCs w:val="24"/>
        </w:rPr>
        <w:t>. In this three</w:t>
      </w:r>
      <w:r w:rsidR="00130988">
        <w:rPr>
          <w:rFonts w:ascii="Times New Roman" w:hAnsi="Times New Roman" w:cs="Times New Roman"/>
          <w:sz w:val="24"/>
          <w:szCs w:val="24"/>
        </w:rPr>
        <w:t xml:space="preserve"> days training,</w:t>
      </w:r>
      <w:r w:rsidR="000D1E1F">
        <w:rPr>
          <w:rFonts w:ascii="Times New Roman" w:hAnsi="Times New Roman" w:cs="Times New Roman"/>
          <w:sz w:val="24"/>
          <w:szCs w:val="24"/>
        </w:rPr>
        <w:t xml:space="preserve"> all TPC-OHCIS</w:t>
      </w:r>
      <w:r w:rsidR="00DF43D3" w:rsidRPr="00DF43D3">
        <w:rPr>
          <w:rFonts w:ascii="Times New Roman" w:hAnsi="Times New Roman" w:cs="Times New Roman"/>
          <w:sz w:val="24"/>
          <w:szCs w:val="24"/>
        </w:rPr>
        <w:t xml:space="preserve"> </w:t>
      </w:r>
      <w:r w:rsidR="006F7FBA">
        <w:rPr>
          <w:rFonts w:ascii="Times New Roman" w:hAnsi="Times New Roman" w:cs="Times New Roman"/>
          <w:sz w:val="24"/>
          <w:szCs w:val="24"/>
        </w:rPr>
        <w:t>modules</w:t>
      </w:r>
      <w:r w:rsidR="000D1E1F">
        <w:rPr>
          <w:rFonts w:ascii="Times New Roman" w:hAnsi="Times New Roman" w:cs="Times New Roman"/>
          <w:sz w:val="24"/>
          <w:szCs w:val="24"/>
        </w:rPr>
        <w:t xml:space="preserve"> </w:t>
      </w:r>
      <w:r w:rsidR="00AE708D">
        <w:rPr>
          <w:rFonts w:ascii="Times New Roman" w:hAnsi="Times New Roman" w:cs="Times New Roman"/>
          <w:sz w:val="24"/>
          <w:szCs w:val="24"/>
        </w:rPr>
        <w:t xml:space="preserve">are </w:t>
      </w:r>
      <w:r w:rsidR="00DF43D3" w:rsidRPr="00DF43D3">
        <w:rPr>
          <w:rFonts w:ascii="Times New Roman" w:hAnsi="Times New Roman" w:cs="Times New Roman"/>
          <w:sz w:val="24"/>
          <w:szCs w:val="24"/>
        </w:rPr>
        <w:t>divided by topics</w:t>
      </w:r>
      <w:r w:rsidR="008C6AA9">
        <w:rPr>
          <w:rFonts w:ascii="Times New Roman" w:hAnsi="Times New Roman" w:cs="Times New Roman"/>
          <w:sz w:val="24"/>
          <w:szCs w:val="24"/>
        </w:rPr>
        <w:t>. The trainers are ca</w:t>
      </w:r>
      <w:r w:rsidR="00DB2FE5">
        <w:rPr>
          <w:rFonts w:ascii="Times New Roman" w:hAnsi="Times New Roman" w:cs="Times New Roman"/>
          <w:sz w:val="24"/>
          <w:szCs w:val="24"/>
        </w:rPr>
        <w:t>lled TPC-OHCIS champions who have</w:t>
      </w:r>
      <w:r w:rsidR="008C6AA9">
        <w:rPr>
          <w:rFonts w:ascii="Times New Roman" w:hAnsi="Times New Roman" w:cs="Times New Roman"/>
          <w:sz w:val="24"/>
          <w:szCs w:val="24"/>
        </w:rPr>
        <w:t xml:space="preserve"> to cascade the training in a series of echo training to all users of TPC-OHCIS before the go-live date during expansion of this system. </w:t>
      </w:r>
      <w:r w:rsidR="006A72EC">
        <w:rPr>
          <w:rFonts w:ascii="Times New Roman" w:hAnsi="Times New Roman" w:cs="Times New Roman"/>
          <w:sz w:val="24"/>
          <w:szCs w:val="24"/>
        </w:rPr>
        <w:t>Thus far, there is</w:t>
      </w:r>
      <w:r w:rsidR="002139CD">
        <w:rPr>
          <w:rFonts w:ascii="Times New Roman" w:hAnsi="Times New Roman" w:cs="Times New Roman"/>
          <w:sz w:val="24"/>
          <w:szCs w:val="24"/>
        </w:rPr>
        <w:t xml:space="preserve"> </w:t>
      </w:r>
      <w:r w:rsidR="00EC13BC">
        <w:rPr>
          <w:rFonts w:ascii="Times New Roman" w:hAnsi="Times New Roman" w:cs="Times New Roman"/>
          <w:sz w:val="24"/>
          <w:szCs w:val="24"/>
        </w:rPr>
        <w:t>a set of PDF</w:t>
      </w:r>
      <w:r w:rsidR="00EA0E25">
        <w:rPr>
          <w:rFonts w:ascii="Times New Roman" w:hAnsi="Times New Roman" w:cs="Times New Roman"/>
          <w:sz w:val="24"/>
          <w:szCs w:val="24"/>
        </w:rPr>
        <w:t xml:space="preserve"> document</w:t>
      </w:r>
      <w:r w:rsidR="00EC13BC">
        <w:rPr>
          <w:rFonts w:ascii="Times New Roman" w:hAnsi="Times New Roman" w:cs="Times New Roman"/>
          <w:sz w:val="24"/>
          <w:szCs w:val="24"/>
        </w:rPr>
        <w:t xml:space="preserve"> </w:t>
      </w:r>
      <w:r w:rsidR="003A35D2">
        <w:rPr>
          <w:rFonts w:ascii="Times New Roman" w:hAnsi="Times New Roman" w:cs="Times New Roman"/>
          <w:sz w:val="24"/>
          <w:szCs w:val="24"/>
        </w:rPr>
        <w:t xml:space="preserve">files </w:t>
      </w:r>
      <w:r w:rsidR="00EC13BC">
        <w:rPr>
          <w:rFonts w:ascii="Times New Roman" w:hAnsi="Times New Roman" w:cs="Times New Roman"/>
          <w:sz w:val="24"/>
          <w:szCs w:val="24"/>
        </w:rPr>
        <w:t>by topics</w:t>
      </w:r>
      <w:r w:rsidR="00EA0E25">
        <w:rPr>
          <w:rFonts w:ascii="Times New Roman" w:hAnsi="Times New Roman" w:cs="Times New Roman"/>
          <w:sz w:val="24"/>
          <w:szCs w:val="24"/>
        </w:rPr>
        <w:t xml:space="preserve"> showing snapshots on how to use TPC-OHCIS but</w:t>
      </w:r>
      <w:r w:rsidR="00EC13BC">
        <w:rPr>
          <w:rFonts w:ascii="Times New Roman" w:hAnsi="Times New Roman" w:cs="Times New Roman"/>
          <w:sz w:val="24"/>
          <w:szCs w:val="24"/>
        </w:rPr>
        <w:t xml:space="preserve"> is not self-</w:t>
      </w:r>
      <w:r w:rsidR="00EC13BC" w:rsidRPr="00DF43D3">
        <w:rPr>
          <w:rFonts w:ascii="Times New Roman" w:hAnsi="Times New Roman" w:cs="Times New Roman"/>
          <w:sz w:val="24"/>
          <w:szCs w:val="24"/>
        </w:rPr>
        <w:t>explanatory</w:t>
      </w:r>
      <w:r w:rsidR="00EA0E25">
        <w:rPr>
          <w:rFonts w:ascii="Times New Roman" w:hAnsi="Times New Roman" w:cs="Times New Roman"/>
          <w:sz w:val="24"/>
          <w:szCs w:val="24"/>
        </w:rPr>
        <w:t xml:space="preserve"> . There are </w:t>
      </w:r>
      <w:r w:rsidR="00EC13BC">
        <w:rPr>
          <w:rFonts w:ascii="Times New Roman" w:hAnsi="Times New Roman" w:cs="Times New Roman"/>
          <w:sz w:val="24"/>
          <w:szCs w:val="24"/>
        </w:rPr>
        <w:t>several circulated PowerPoint slides</w:t>
      </w:r>
      <w:r w:rsidR="00EA0E25">
        <w:rPr>
          <w:rFonts w:ascii="Times New Roman" w:hAnsi="Times New Roman" w:cs="Times New Roman"/>
          <w:sz w:val="24"/>
          <w:szCs w:val="24"/>
        </w:rPr>
        <w:t xml:space="preserve"> given to champions. To date,</w:t>
      </w:r>
      <w:r w:rsidR="00DF43D3" w:rsidRPr="00DF43D3">
        <w:rPr>
          <w:rFonts w:ascii="Times New Roman" w:hAnsi="Times New Roman" w:cs="Times New Roman"/>
          <w:sz w:val="24"/>
          <w:szCs w:val="24"/>
        </w:rPr>
        <w:t xml:space="preserve"> </w:t>
      </w:r>
      <w:r w:rsidR="003D288B">
        <w:rPr>
          <w:rFonts w:ascii="Times New Roman" w:hAnsi="Times New Roman" w:cs="Times New Roman"/>
          <w:sz w:val="24"/>
          <w:szCs w:val="24"/>
        </w:rPr>
        <w:t xml:space="preserve">there are no </w:t>
      </w:r>
      <w:r w:rsidR="00DF43D3" w:rsidRPr="00DF43D3">
        <w:rPr>
          <w:rFonts w:ascii="Times New Roman" w:hAnsi="Times New Roman" w:cs="Times New Roman"/>
          <w:sz w:val="24"/>
          <w:szCs w:val="24"/>
        </w:rPr>
        <w:t>video clips</w:t>
      </w:r>
      <w:r w:rsidR="00EC13BC">
        <w:rPr>
          <w:rFonts w:ascii="Times New Roman" w:hAnsi="Times New Roman" w:cs="Times New Roman"/>
          <w:sz w:val="24"/>
          <w:szCs w:val="24"/>
        </w:rPr>
        <w:t xml:space="preserve"> and</w:t>
      </w:r>
      <w:r w:rsidR="00EA0E25">
        <w:rPr>
          <w:rFonts w:ascii="Times New Roman" w:hAnsi="Times New Roman" w:cs="Times New Roman"/>
          <w:sz w:val="24"/>
          <w:szCs w:val="24"/>
        </w:rPr>
        <w:t xml:space="preserve"> </w:t>
      </w:r>
      <w:r w:rsidR="00DF43D3" w:rsidRPr="00DF43D3">
        <w:rPr>
          <w:rFonts w:ascii="Times New Roman" w:hAnsi="Times New Roman" w:cs="Times New Roman"/>
          <w:sz w:val="24"/>
          <w:szCs w:val="24"/>
        </w:rPr>
        <w:t>infographics</w:t>
      </w:r>
      <w:r w:rsidR="00EA0E25">
        <w:rPr>
          <w:rFonts w:ascii="Times New Roman" w:hAnsi="Times New Roman" w:cs="Times New Roman"/>
          <w:sz w:val="24"/>
          <w:szCs w:val="24"/>
        </w:rPr>
        <w:t xml:space="preserve"> for </w:t>
      </w:r>
      <w:r w:rsidR="003D288B">
        <w:rPr>
          <w:rFonts w:ascii="Times New Roman" w:hAnsi="Times New Roman" w:cs="Times New Roman"/>
          <w:sz w:val="24"/>
          <w:szCs w:val="24"/>
        </w:rPr>
        <w:t xml:space="preserve">the </w:t>
      </w:r>
      <w:r w:rsidR="00EA0E25">
        <w:rPr>
          <w:rFonts w:ascii="Times New Roman" w:hAnsi="Times New Roman" w:cs="Times New Roman"/>
          <w:sz w:val="24"/>
          <w:szCs w:val="24"/>
        </w:rPr>
        <w:t>TPC-OHCIS user training.</w:t>
      </w:r>
    </w:p>
    <w:p w:rsidR="00905355" w:rsidRPr="00E237BE" w:rsidRDefault="00E237BE" w:rsidP="00F2386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Increasingly</w:t>
      </w:r>
      <w:r w:rsidR="00E02BCC">
        <w:rPr>
          <w:rFonts w:ascii="Times New Roman" w:hAnsi="Times New Roman" w:cs="Times New Roman"/>
          <w:sz w:val="24"/>
          <w:szCs w:val="24"/>
        </w:rPr>
        <w:t>,</w:t>
      </w:r>
      <w:r w:rsidRPr="00E237BE">
        <w:rPr>
          <w:rFonts w:ascii="Times New Roman" w:hAnsi="Times New Roman" w:cs="Times New Roman"/>
          <w:sz w:val="24"/>
          <w:szCs w:val="24"/>
        </w:rPr>
        <w:t xml:space="preserve"> </w:t>
      </w:r>
      <w:r w:rsidR="00E02BCC">
        <w:rPr>
          <w:rFonts w:ascii="Times New Roman" w:hAnsi="Times New Roman" w:cs="Times New Roman"/>
          <w:sz w:val="24"/>
          <w:szCs w:val="24"/>
        </w:rPr>
        <w:t>MOH</w:t>
      </w:r>
      <w:r w:rsidRPr="00E237BE">
        <w:rPr>
          <w:rFonts w:ascii="Times New Roman" w:hAnsi="Times New Roman" w:cs="Times New Roman"/>
          <w:sz w:val="24"/>
          <w:szCs w:val="24"/>
        </w:rPr>
        <w:t xml:space="preserve"> officials are</w:t>
      </w:r>
      <w:r>
        <w:rPr>
          <w:rFonts w:ascii="Times New Roman" w:hAnsi="Times New Roman" w:cs="Times New Roman"/>
          <w:sz w:val="24"/>
          <w:szCs w:val="24"/>
        </w:rPr>
        <w:t xml:space="preserve"> </w:t>
      </w:r>
      <w:r w:rsidRPr="00E237BE">
        <w:rPr>
          <w:rFonts w:ascii="Times New Roman" w:hAnsi="Times New Roman" w:cs="Times New Roman"/>
          <w:sz w:val="24"/>
          <w:szCs w:val="24"/>
        </w:rPr>
        <w:t>recognizing that histo</w:t>
      </w:r>
      <w:r w:rsidR="00B9475F">
        <w:rPr>
          <w:rFonts w:ascii="Times New Roman" w:hAnsi="Times New Roman" w:cs="Times New Roman"/>
          <w:sz w:val="24"/>
          <w:szCs w:val="24"/>
        </w:rPr>
        <w:t xml:space="preserve">rical approaches to training </w:t>
      </w:r>
      <w:r w:rsidRPr="00E237BE">
        <w:rPr>
          <w:rFonts w:ascii="Times New Roman" w:hAnsi="Times New Roman" w:cs="Times New Roman"/>
          <w:sz w:val="24"/>
          <w:szCs w:val="24"/>
        </w:rPr>
        <w:t>have not result</w:t>
      </w:r>
      <w:r w:rsidR="00B9475F">
        <w:rPr>
          <w:rFonts w:ascii="Times New Roman" w:hAnsi="Times New Roman" w:cs="Times New Roman"/>
          <w:sz w:val="24"/>
          <w:szCs w:val="24"/>
        </w:rPr>
        <w:t>ed in desired changes in provid</w:t>
      </w:r>
      <w:r w:rsidRPr="00E237BE">
        <w:rPr>
          <w:rFonts w:ascii="Times New Roman" w:hAnsi="Times New Roman" w:cs="Times New Roman"/>
          <w:sz w:val="24"/>
          <w:szCs w:val="24"/>
        </w:rPr>
        <w:t>er performance, quality of care, and improved health out-comes. The traditional, cl</w:t>
      </w:r>
      <w:r w:rsidR="00DA0300">
        <w:rPr>
          <w:rFonts w:ascii="Times New Roman" w:hAnsi="Times New Roman" w:cs="Times New Roman"/>
          <w:sz w:val="24"/>
          <w:szCs w:val="24"/>
        </w:rPr>
        <w:t>assroom-based TOT</w:t>
      </w:r>
      <w:r w:rsidR="002B7EF0">
        <w:rPr>
          <w:rFonts w:ascii="Times New Roman" w:hAnsi="Times New Roman" w:cs="Times New Roman"/>
          <w:sz w:val="24"/>
          <w:szCs w:val="24"/>
        </w:rPr>
        <w:t>,</w:t>
      </w:r>
      <w:r w:rsidRPr="00E237BE">
        <w:rPr>
          <w:rFonts w:ascii="Times New Roman" w:hAnsi="Times New Roman" w:cs="Times New Roman"/>
          <w:sz w:val="24"/>
          <w:szCs w:val="24"/>
        </w:rPr>
        <w:t xml:space="preserve"> cascade approach access</w:t>
      </w:r>
      <w:r w:rsidR="00B9475F">
        <w:rPr>
          <w:rFonts w:ascii="Times New Roman" w:hAnsi="Times New Roman" w:cs="Times New Roman"/>
          <w:sz w:val="24"/>
          <w:szCs w:val="24"/>
        </w:rPr>
        <w:t xml:space="preserve"> </w:t>
      </w:r>
      <w:r w:rsidR="002B7EF0">
        <w:rPr>
          <w:rFonts w:ascii="Times New Roman" w:hAnsi="Times New Roman" w:cs="Times New Roman"/>
          <w:sz w:val="24"/>
          <w:szCs w:val="24"/>
        </w:rPr>
        <w:t>to knowledge</w:t>
      </w:r>
      <w:r w:rsidRPr="00E237BE">
        <w:rPr>
          <w:rFonts w:ascii="Times New Roman" w:hAnsi="Times New Roman" w:cs="Times New Roman"/>
          <w:sz w:val="24"/>
          <w:szCs w:val="24"/>
        </w:rPr>
        <w:t xml:space="preserve"> </w:t>
      </w:r>
      <w:r w:rsidR="00280C05">
        <w:rPr>
          <w:rFonts w:ascii="Times New Roman" w:hAnsi="Times New Roman" w:cs="Times New Roman"/>
          <w:sz w:val="24"/>
          <w:szCs w:val="24"/>
        </w:rPr>
        <w:t xml:space="preserve">is </w:t>
      </w:r>
      <w:r w:rsidRPr="00E237BE">
        <w:rPr>
          <w:rFonts w:ascii="Times New Roman" w:hAnsi="Times New Roman" w:cs="Times New Roman"/>
          <w:sz w:val="24"/>
          <w:szCs w:val="24"/>
        </w:rPr>
        <w:t>limited to a small set of individuals, or</w:t>
      </w:r>
      <w:r w:rsidR="00B9475F">
        <w:rPr>
          <w:rFonts w:ascii="Times New Roman" w:hAnsi="Times New Roman" w:cs="Times New Roman"/>
          <w:sz w:val="24"/>
          <w:szCs w:val="24"/>
        </w:rPr>
        <w:t xml:space="preserve"> </w:t>
      </w:r>
      <w:r w:rsidRPr="00E237BE">
        <w:rPr>
          <w:rFonts w:ascii="Times New Roman" w:hAnsi="Times New Roman" w:cs="Times New Roman"/>
          <w:sz w:val="24"/>
          <w:szCs w:val="24"/>
        </w:rPr>
        <w:t>master trainers, and the proc</w:t>
      </w:r>
      <w:r w:rsidR="005812A9">
        <w:rPr>
          <w:rFonts w:ascii="Times New Roman" w:hAnsi="Times New Roman" w:cs="Times New Roman"/>
          <w:sz w:val="24"/>
          <w:szCs w:val="24"/>
        </w:rPr>
        <w:t>ess of bringing individuals off-site, removes</w:t>
      </w:r>
      <w:r w:rsidR="002B7EF0" w:rsidRPr="002B7EF0">
        <w:rPr>
          <w:rFonts w:ascii="Times New Roman" w:hAnsi="Times New Roman" w:cs="Times New Roman"/>
          <w:sz w:val="24"/>
          <w:szCs w:val="24"/>
        </w:rPr>
        <w:t xml:space="preserve"> health care workers from the</w:t>
      </w:r>
      <w:r w:rsidR="002B7EF0">
        <w:rPr>
          <w:rFonts w:ascii="Times New Roman" w:hAnsi="Times New Roman" w:cs="Times New Roman"/>
          <w:sz w:val="24"/>
          <w:szCs w:val="24"/>
        </w:rPr>
        <w:t>ir</w:t>
      </w:r>
      <w:r w:rsidR="002B7EF0" w:rsidRPr="002B7EF0">
        <w:rPr>
          <w:rFonts w:ascii="Times New Roman" w:hAnsi="Times New Roman" w:cs="Times New Roman"/>
          <w:sz w:val="24"/>
          <w:szCs w:val="24"/>
        </w:rPr>
        <w:t xml:space="preserve"> workplace</w:t>
      </w:r>
      <w:r w:rsidR="002B7EF0">
        <w:rPr>
          <w:rFonts w:ascii="Times New Roman" w:hAnsi="Times New Roman" w:cs="Times New Roman"/>
          <w:sz w:val="24"/>
          <w:szCs w:val="24"/>
        </w:rPr>
        <w:t xml:space="preserve">s brings </w:t>
      </w:r>
      <w:r w:rsidR="00B9475F">
        <w:rPr>
          <w:rFonts w:ascii="Times New Roman" w:hAnsi="Times New Roman" w:cs="Times New Roman"/>
          <w:sz w:val="24"/>
          <w:szCs w:val="24"/>
        </w:rPr>
        <w:t xml:space="preserve">logistical </w:t>
      </w:r>
      <w:r w:rsidR="005812A9">
        <w:rPr>
          <w:rFonts w:ascii="Times New Roman" w:hAnsi="Times New Roman" w:cs="Times New Roman"/>
          <w:sz w:val="24"/>
          <w:szCs w:val="24"/>
        </w:rPr>
        <w:t>in</w:t>
      </w:r>
      <w:r w:rsidR="00B9475F">
        <w:rPr>
          <w:rFonts w:ascii="Times New Roman" w:hAnsi="Times New Roman" w:cs="Times New Roman"/>
          <w:sz w:val="24"/>
          <w:szCs w:val="24"/>
        </w:rPr>
        <w:t>con</w:t>
      </w:r>
      <w:r w:rsidRPr="00E237BE">
        <w:rPr>
          <w:rFonts w:ascii="Times New Roman" w:hAnsi="Times New Roman" w:cs="Times New Roman"/>
          <w:sz w:val="24"/>
          <w:szCs w:val="24"/>
        </w:rPr>
        <w:t>venie</w:t>
      </w:r>
      <w:r w:rsidR="002B7EF0">
        <w:rPr>
          <w:rFonts w:ascii="Times New Roman" w:hAnsi="Times New Roman" w:cs="Times New Roman"/>
          <w:sz w:val="24"/>
          <w:szCs w:val="24"/>
        </w:rPr>
        <w:t>nce</w:t>
      </w:r>
      <w:r w:rsidRPr="00E237BE">
        <w:rPr>
          <w:rFonts w:ascii="Times New Roman" w:hAnsi="Times New Roman" w:cs="Times New Roman"/>
          <w:sz w:val="24"/>
          <w:szCs w:val="24"/>
        </w:rPr>
        <w:t>. Evidence has</w:t>
      </w:r>
      <w:r w:rsidR="00B9475F">
        <w:rPr>
          <w:rFonts w:ascii="Times New Roman" w:hAnsi="Times New Roman" w:cs="Times New Roman"/>
          <w:sz w:val="24"/>
          <w:szCs w:val="24"/>
        </w:rPr>
        <w:t xml:space="preserve"> </w:t>
      </w:r>
      <w:r w:rsidRPr="00E237BE">
        <w:rPr>
          <w:rFonts w:ascii="Times New Roman" w:hAnsi="Times New Roman" w:cs="Times New Roman"/>
          <w:sz w:val="24"/>
          <w:szCs w:val="24"/>
        </w:rPr>
        <w:t>accumulated that such approaches yield disappointing</w:t>
      </w:r>
      <w:r w:rsidR="00B9475F">
        <w:rPr>
          <w:rFonts w:ascii="Times New Roman" w:hAnsi="Times New Roman" w:cs="Times New Roman"/>
          <w:sz w:val="24"/>
          <w:szCs w:val="24"/>
        </w:rPr>
        <w:t xml:space="preserve"> </w:t>
      </w:r>
      <w:r w:rsidRPr="00E237BE">
        <w:rPr>
          <w:rFonts w:ascii="Times New Roman" w:hAnsi="Times New Roman" w:cs="Times New Roman"/>
          <w:sz w:val="24"/>
          <w:szCs w:val="24"/>
        </w:rPr>
        <w:t>results</w:t>
      </w:r>
      <w:r w:rsidR="00B9475F">
        <w:rPr>
          <w:rFonts w:ascii="Times New Roman" w:hAnsi="Times New Roman" w:cs="Times New Roman"/>
          <w:sz w:val="24"/>
          <w:szCs w:val="24"/>
        </w:rPr>
        <w:t xml:space="preserve"> </w:t>
      </w:r>
      <w:r w:rsidR="00B9475F">
        <w:rPr>
          <w:rFonts w:ascii="Times New Roman" w:hAnsi="Times New Roman" w:cs="Times New Roman"/>
          <w:sz w:val="24"/>
          <w:szCs w:val="24"/>
        </w:rPr>
        <w:fldChar w:fldCharType="begin" w:fldLock="1"/>
      </w:r>
      <w:r w:rsidR="00D57EB2">
        <w:rPr>
          <w:rFonts w:ascii="Times New Roman" w:hAnsi="Times New Roman" w:cs="Times New Roman"/>
          <w:sz w:val="24"/>
          <w:szCs w:val="24"/>
        </w:rPr>
        <w:instrText>ADDIN CSL_CITATION {"citationItems":[{"id":"ITEM-1","itemData":{"DOI":"10.9745/GHSP-D-21-00553","ISSN":"2169575X","PMID":"34593570","author":[{"dropping-particle":"","family":"Bluestone","given":"Julia","non-dropping-particle":"","parse-names":false,"suffix":""},{"dropping-particle":"","family":"Ricca","given":"Jim","non-dropping-particle":"","parse-names":false,"suffix":""},{"dropping-particle":"","family":"Traicoff","given":"Denise","non-dropping-particle":"","parse-names":false,"suffix":""},{"dropping-particle":"","family":"Tchoualeu","given":"Dieula Delissaint","non-dropping-particle":"","parse-names":false,"suffix":""}],"container-title":"Global Health Science and Practice","id":"ITEM-1","issue":"3","issued":{"date-parts":[["2021","9","1"]]},"page":"431-432","publisher":"Johns Hopkins University Press","title":"It's time to move beyond traditional health careworker training approaches","type":"article-journal","volume":"9"},"uris":["http://www.mendeley.com/documents/?uuid=49fd0211-e8dc-34a6-bff6-9b397972a108"]}],"mendeley":{"formattedCitation":"(Bluestone &lt;i&gt;et al.&lt;/i&gt;, 2021)","plainTextFormattedCitation":"(Bluestone et al., 2021)","previouslyFormattedCitation":"(Bluestone &lt;i&gt;et al.&lt;/i&gt;, 2021)"},"properties":{"noteIndex":0},"schema":"https://github.com/citation-style-language/schema/raw/master/csl-citation.json"}</w:instrText>
      </w:r>
      <w:r w:rsidR="00B9475F">
        <w:rPr>
          <w:rFonts w:ascii="Times New Roman" w:hAnsi="Times New Roman" w:cs="Times New Roman"/>
          <w:sz w:val="24"/>
          <w:szCs w:val="24"/>
        </w:rPr>
        <w:fldChar w:fldCharType="separate"/>
      </w:r>
      <w:r w:rsidR="00B9475F" w:rsidRPr="00B9475F">
        <w:rPr>
          <w:rFonts w:ascii="Times New Roman" w:hAnsi="Times New Roman" w:cs="Times New Roman"/>
          <w:noProof/>
          <w:sz w:val="24"/>
          <w:szCs w:val="24"/>
        </w:rPr>
        <w:t xml:space="preserve">(Bluestone </w:t>
      </w:r>
      <w:r w:rsidR="00B9475F" w:rsidRPr="009316DE">
        <w:rPr>
          <w:rFonts w:ascii="Times New Roman" w:hAnsi="Times New Roman" w:cs="Times New Roman"/>
          <w:noProof/>
          <w:sz w:val="24"/>
          <w:szCs w:val="24"/>
        </w:rPr>
        <w:t>et al.</w:t>
      </w:r>
      <w:r w:rsidR="00B9475F" w:rsidRPr="00B9475F">
        <w:rPr>
          <w:rFonts w:ascii="Times New Roman" w:hAnsi="Times New Roman" w:cs="Times New Roman"/>
          <w:noProof/>
          <w:sz w:val="24"/>
          <w:szCs w:val="24"/>
        </w:rPr>
        <w:t>, 2021)</w:t>
      </w:r>
      <w:r w:rsidR="00B9475F">
        <w:rPr>
          <w:rFonts w:ascii="Times New Roman" w:hAnsi="Times New Roman" w:cs="Times New Roman"/>
          <w:sz w:val="24"/>
          <w:szCs w:val="24"/>
        </w:rPr>
        <w:fldChar w:fldCharType="end"/>
      </w:r>
      <w:r w:rsidRPr="00E237BE">
        <w:rPr>
          <w:rFonts w:ascii="Times New Roman" w:hAnsi="Times New Roman" w:cs="Times New Roman"/>
          <w:sz w:val="24"/>
          <w:szCs w:val="24"/>
        </w:rPr>
        <w:t>.</w:t>
      </w:r>
      <w:r w:rsidR="00175A51">
        <w:rPr>
          <w:rFonts w:ascii="Times New Roman" w:hAnsi="Times New Roman" w:cs="Times New Roman"/>
          <w:sz w:val="24"/>
          <w:szCs w:val="24"/>
        </w:rPr>
        <w:t xml:space="preserve"> There has</w:t>
      </w:r>
      <w:r w:rsidR="00D57EB2">
        <w:rPr>
          <w:rFonts w:ascii="Times New Roman" w:hAnsi="Times New Roman" w:cs="Times New Roman"/>
          <w:sz w:val="24"/>
          <w:szCs w:val="24"/>
        </w:rPr>
        <w:t xml:space="preserve"> been emphasis</w:t>
      </w:r>
      <w:r w:rsidR="00905355">
        <w:rPr>
          <w:rFonts w:ascii="Times New Roman" w:hAnsi="Times New Roman" w:cs="Times New Roman"/>
          <w:sz w:val="24"/>
          <w:szCs w:val="24"/>
        </w:rPr>
        <w:t xml:space="preserve"> on workplace-</w:t>
      </w:r>
      <w:r w:rsidR="00D57EB2" w:rsidRPr="00D57EB2">
        <w:rPr>
          <w:rFonts w:ascii="Times New Roman" w:hAnsi="Times New Roman" w:cs="Times New Roman"/>
          <w:sz w:val="24"/>
          <w:szCs w:val="24"/>
        </w:rPr>
        <w:t>based training combined with mentorship and follow- up. Such approaches have been facilitated through expanded access to digital technology and real-time data to support just-in-time mobile learning</w:t>
      </w:r>
      <w:r w:rsidR="00115BD0">
        <w:rPr>
          <w:rFonts w:ascii="Times New Roman" w:hAnsi="Times New Roman" w:cs="Times New Roman"/>
          <w:sz w:val="24"/>
          <w:szCs w:val="24"/>
        </w:rPr>
        <w:t xml:space="preserve"> and adult learning</w:t>
      </w:r>
      <w:r w:rsidR="00D57EB2">
        <w:rPr>
          <w:rFonts w:ascii="Times New Roman" w:hAnsi="Times New Roman" w:cs="Times New Roman"/>
          <w:sz w:val="24"/>
          <w:szCs w:val="24"/>
        </w:rPr>
        <w:t xml:space="preserve"> </w:t>
      </w:r>
      <w:r w:rsidR="00D57EB2">
        <w:rPr>
          <w:rFonts w:ascii="Times New Roman" w:hAnsi="Times New Roman" w:cs="Times New Roman"/>
          <w:sz w:val="24"/>
          <w:szCs w:val="24"/>
        </w:rPr>
        <w:fldChar w:fldCharType="begin" w:fldLock="1"/>
      </w:r>
      <w:r w:rsidR="00905355">
        <w:rPr>
          <w:rFonts w:ascii="Times New Roman" w:hAnsi="Times New Roman" w:cs="Times New Roman"/>
          <w:sz w:val="24"/>
          <w:szCs w:val="24"/>
        </w:rPr>
        <w:instrText>ADDIN CSL_CITATION {"citationItems":[{"id":"ITEM-1","itemData":{"DOI":"10.9745/GHSP-D-21-00553","ISSN":"2169575X","PMID":"34593570","author":[{"dropping-particle":"","family":"Bluestone","given":"Julia","non-dropping-particle":"","parse-names":false,"suffix":""},{"dropping-particle":"","family":"Ricca","given":"Jim","non-dropping-particle":"","parse-names":false,"suffix":""},{"dropping-particle":"","family":"Traicoff","given":"Denise","non-dropping-particle":"","parse-names":false,"suffix":""},{"dropping-particle":"","family":"Tchoualeu","given":"Dieula Delissaint","non-dropping-particle":"","parse-names":false,"suffix":""}],"container-title":"Global Health Science and Practice","id":"ITEM-1","issue":"3","issued":{"date-parts":[["2021","9","1"]]},"page":"431-432","publisher":"Johns Hopkins University Press","title":"It's time to move beyond traditional health careworker training approaches","type":"article-journal","volume":"9"},"uris":["http://www.mendeley.com/documents/?uuid=49fd0211-e8dc-34a6-bff6-9b397972a108"]}],"mendeley":{"formattedCitation":"(Bluestone &lt;i&gt;et al.&lt;/i&gt;, 2021)","plainTextFormattedCitation":"(Bluestone et al., 2021)","previouslyFormattedCitation":"(Bluestone &lt;i&gt;et al.&lt;/i&gt;, 2021)"},"properties":{"noteIndex":0},"schema":"https://github.com/citation-style-language/schema/raw/master/csl-citation.json"}</w:instrText>
      </w:r>
      <w:r w:rsidR="00D57EB2">
        <w:rPr>
          <w:rFonts w:ascii="Times New Roman" w:hAnsi="Times New Roman" w:cs="Times New Roman"/>
          <w:sz w:val="24"/>
          <w:szCs w:val="24"/>
        </w:rPr>
        <w:fldChar w:fldCharType="separate"/>
      </w:r>
      <w:r w:rsidR="00D57EB2" w:rsidRPr="00D57EB2">
        <w:rPr>
          <w:rFonts w:ascii="Times New Roman" w:hAnsi="Times New Roman" w:cs="Times New Roman"/>
          <w:noProof/>
          <w:sz w:val="24"/>
          <w:szCs w:val="24"/>
        </w:rPr>
        <w:t xml:space="preserve">(Bluestone </w:t>
      </w:r>
      <w:r w:rsidR="00D57EB2" w:rsidRPr="00507B16">
        <w:rPr>
          <w:rFonts w:ascii="Times New Roman" w:hAnsi="Times New Roman" w:cs="Times New Roman"/>
          <w:noProof/>
          <w:sz w:val="24"/>
          <w:szCs w:val="24"/>
        </w:rPr>
        <w:t>et al.</w:t>
      </w:r>
      <w:r w:rsidR="00D57EB2" w:rsidRPr="00D57EB2">
        <w:rPr>
          <w:rFonts w:ascii="Times New Roman" w:hAnsi="Times New Roman" w:cs="Times New Roman"/>
          <w:noProof/>
          <w:sz w:val="24"/>
          <w:szCs w:val="24"/>
        </w:rPr>
        <w:t>, 2021)</w:t>
      </w:r>
      <w:r w:rsidR="00D57EB2">
        <w:rPr>
          <w:rFonts w:ascii="Times New Roman" w:hAnsi="Times New Roman" w:cs="Times New Roman"/>
          <w:sz w:val="24"/>
          <w:szCs w:val="24"/>
        </w:rPr>
        <w:fldChar w:fldCharType="end"/>
      </w:r>
      <w:r w:rsidR="00D57EB2">
        <w:rPr>
          <w:rFonts w:ascii="Times New Roman" w:hAnsi="Times New Roman" w:cs="Times New Roman"/>
          <w:sz w:val="24"/>
          <w:szCs w:val="24"/>
        </w:rPr>
        <w:t>.</w:t>
      </w:r>
      <w:r w:rsidR="00905355">
        <w:rPr>
          <w:rFonts w:ascii="Times New Roman" w:hAnsi="Times New Roman" w:cs="Times New Roman"/>
          <w:sz w:val="24"/>
          <w:szCs w:val="24"/>
        </w:rPr>
        <w:t xml:space="preserve"> Just-in-time training</w:t>
      </w:r>
      <w:r w:rsidR="00905355" w:rsidRPr="00905355">
        <w:rPr>
          <w:rFonts w:ascii="Times New Roman" w:hAnsi="Times New Roman" w:cs="Times New Roman"/>
          <w:sz w:val="24"/>
          <w:szCs w:val="24"/>
        </w:rPr>
        <w:t xml:space="preserve"> is accepted in medical education as a training method</w:t>
      </w:r>
      <w:r w:rsidR="00905355">
        <w:rPr>
          <w:rFonts w:ascii="Times New Roman" w:hAnsi="Times New Roman" w:cs="Times New Roman"/>
          <w:sz w:val="24"/>
          <w:szCs w:val="24"/>
        </w:rPr>
        <w:t xml:space="preserve"> and </w:t>
      </w:r>
      <w:r w:rsidR="00905355" w:rsidRPr="00905355">
        <w:rPr>
          <w:rFonts w:ascii="Times New Roman" w:hAnsi="Times New Roman" w:cs="Times New Roman"/>
          <w:sz w:val="24"/>
          <w:szCs w:val="24"/>
        </w:rPr>
        <w:t>can be a valuable and eff</w:t>
      </w:r>
      <w:r w:rsidR="00905355">
        <w:rPr>
          <w:rFonts w:ascii="Times New Roman" w:hAnsi="Times New Roman" w:cs="Times New Roman"/>
          <w:sz w:val="24"/>
          <w:szCs w:val="24"/>
        </w:rPr>
        <w:t xml:space="preserve">ective method to disseminate </w:t>
      </w:r>
      <w:r w:rsidR="00905355" w:rsidRPr="00905355">
        <w:rPr>
          <w:rFonts w:ascii="Times New Roman" w:hAnsi="Times New Roman" w:cs="Times New Roman"/>
          <w:sz w:val="24"/>
          <w:szCs w:val="24"/>
        </w:rPr>
        <w:t>principles to a large audience of staff members</w:t>
      </w:r>
      <w:r w:rsidR="00905355">
        <w:rPr>
          <w:rFonts w:ascii="Times New Roman" w:hAnsi="Times New Roman" w:cs="Times New Roman"/>
          <w:sz w:val="24"/>
          <w:szCs w:val="24"/>
        </w:rPr>
        <w:t xml:space="preserve"> </w:t>
      </w:r>
      <w:r w:rsidR="00905355">
        <w:rPr>
          <w:rFonts w:ascii="Times New Roman" w:hAnsi="Times New Roman" w:cs="Times New Roman"/>
          <w:sz w:val="24"/>
          <w:szCs w:val="24"/>
        </w:rPr>
        <w:fldChar w:fldCharType="begin" w:fldLock="1"/>
      </w:r>
      <w:r w:rsidR="00204A9C">
        <w:rPr>
          <w:rFonts w:ascii="Times New Roman" w:hAnsi="Times New Roman" w:cs="Times New Roman"/>
          <w:sz w:val="24"/>
          <w:szCs w:val="24"/>
        </w:rPr>
        <w:instrText>ADDIN CSL_CITATION {"citationItems":[{"id":"ITEM-1","itemData":{"DOI":"10.1891/0730-0832.34.1.6","author":[{"dropping-particle":"","family":"Knutson","given":"A","non-dropping-particle":"","parse-names":false,"suffix":""},{"dropping-particle":"","family":"Park","given":"ND","non-dropping-particle":"","parse-names":false,"suffix":""},{"dropping-particle":"","family":"Smith","given":"D","non-dropping-particle":"","parse-names":false,"suffix":""},{"dropping-particle":"","family":"…","given":"K Tracy - Neonatal","non-dropping-particle":"","parse-names":false,"suffix":""},{"dropping-particle":"","family":"2015","given":"Undefined","non-dropping-particle":"","parse-names":false,"suffix":""}],"container-title":"connect.springerpub.com","id":"ITEM-1","issue":"1","issued":{"date-parts":[["2015"]]},"title":"Just-in-time training: a novel approach to quality improvement education","type":"article-journal","volume":"34"},"uris":["http://www.mendeley.com/documents/?uuid=c4887844-658b-3133-8ccf-da13bc6b5e36"]}],"mendeley":{"formattedCitation":"(Knutson &lt;i&gt;et al.&lt;/i&gt;, 2015)","plainTextFormattedCitation":"(Knutson et al., 2015)","previouslyFormattedCitation":"(Knutson &lt;i&gt;et al.&lt;/i&gt;, 2015)"},"properties":{"noteIndex":0},"schema":"https://github.com/citation-style-language/schema/raw/master/csl-citation.json"}</w:instrText>
      </w:r>
      <w:r w:rsidR="00905355">
        <w:rPr>
          <w:rFonts w:ascii="Times New Roman" w:hAnsi="Times New Roman" w:cs="Times New Roman"/>
          <w:sz w:val="24"/>
          <w:szCs w:val="24"/>
        </w:rPr>
        <w:fldChar w:fldCharType="separate"/>
      </w:r>
      <w:r w:rsidR="00905355" w:rsidRPr="00905355">
        <w:rPr>
          <w:rFonts w:ascii="Times New Roman" w:hAnsi="Times New Roman" w:cs="Times New Roman"/>
          <w:noProof/>
          <w:sz w:val="24"/>
          <w:szCs w:val="24"/>
        </w:rPr>
        <w:t xml:space="preserve">(Knutson </w:t>
      </w:r>
      <w:r w:rsidR="00905355" w:rsidRPr="00507B16">
        <w:rPr>
          <w:rFonts w:ascii="Times New Roman" w:hAnsi="Times New Roman" w:cs="Times New Roman"/>
          <w:noProof/>
          <w:sz w:val="24"/>
          <w:szCs w:val="24"/>
        </w:rPr>
        <w:t>et al</w:t>
      </w:r>
      <w:r w:rsidR="00905355" w:rsidRPr="00905355">
        <w:rPr>
          <w:rFonts w:ascii="Times New Roman" w:hAnsi="Times New Roman" w:cs="Times New Roman"/>
          <w:i/>
          <w:noProof/>
          <w:sz w:val="24"/>
          <w:szCs w:val="24"/>
        </w:rPr>
        <w:t>.</w:t>
      </w:r>
      <w:r w:rsidR="00905355" w:rsidRPr="00905355">
        <w:rPr>
          <w:rFonts w:ascii="Times New Roman" w:hAnsi="Times New Roman" w:cs="Times New Roman"/>
          <w:noProof/>
          <w:sz w:val="24"/>
          <w:szCs w:val="24"/>
        </w:rPr>
        <w:t>, 2015)</w:t>
      </w:r>
      <w:r w:rsidR="00905355">
        <w:rPr>
          <w:rFonts w:ascii="Times New Roman" w:hAnsi="Times New Roman" w:cs="Times New Roman"/>
          <w:sz w:val="24"/>
          <w:szCs w:val="24"/>
        </w:rPr>
        <w:fldChar w:fldCharType="end"/>
      </w:r>
      <w:r w:rsidR="004559A5">
        <w:rPr>
          <w:rFonts w:ascii="Times New Roman" w:hAnsi="Times New Roman" w:cs="Times New Roman"/>
          <w:sz w:val="24"/>
          <w:szCs w:val="24"/>
        </w:rPr>
        <w:t xml:space="preserve">. </w:t>
      </w:r>
      <w:r w:rsidR="00C44715">
        <w:rPr>
          <w:rFonts w:ascii="Times New Roman" w:hAnsi="Times New Roman" w:cs="Times New Roman"/>
          <w:sz w:val="24"/>
          <w:szCs w:val="24"/>
        </w:rPr>
        <w:t>Just-in-time training</w:t>
      </w:r>
      <w:r w:rsidR="004559A5" w:rsidRPr="004559A5">
        <w:rPr>
          <w:rFonts w:ascii="Times New Roman" w:hAnsi="Times New Roman" w:cs="Times New Roman"/>
          <w:sz w:val="24"/>
          <w:szCs w:val="24"/>
        </w:rPr>
        <w:t xml:space="preserve"> has altered the training and preparation of workers in industry, and currently has educational </w:t>
      </w:r>
      <w:r w:rsidR="00507B16">
        <w:rPr>
          <w:rFonts w:ascii="Times New Roman" w:hAnsi="Times New Roman" w:cs="Times New Roman"/>
          <w:sz w:val="24"/>
          <w:szCs w:val="24"/>
        </w:rPr>
        <w:t>implications in all fields. T</w:t>
      </w:r>
      <w:r w:rsidR="004559A5" w:rsidRPr="004559A5">
        <w:rPr>
          <w:rFonts w:ascii="Times New Roman" w:hAnsi="Times New Roman" w:cs="Times New Roman"/>
          <w:sz w:val="24"/>
          <w:szCs w:val="24"/>
        </w:rPr>
        <w:t>echnological advances have made it possible to match specific knowledge and skills with the worker or learner, literally, when and where they need it</w:t>
      </w:r>
      <w:r w:rsidR="00C44715">
        <w:rPr>
          <w:rFonts w:ascii="Times New Roman" w:hAnsi="Times New Roman" w:cs="Times New Roman"/>
          <w:sz w:val="24"/>
          <w:szCs w:val="24"/>
        </w:rPr>
        <w:t xml:space="preserve"> </w:t>
      </w:r>
      <w:r w:rsidR="00204A9C">
        <w:rPr>
          <w:rFonts w:ascii="Times New Roman" w:hAnsi="Times New Roman" w:cs="Times New Roman"/>
          <w:sz w:val="24"/>
          <w:szCs w:val="24"/>
        </w:rPr>
        <w:fldChar w:fldCharType="begin" w:fldLock="1"/>
      </w:r>
      <w:r w:rsidR="002E4B75">
        <w:rPr>
          <w:rFonts w:ascii="Times New Roman" w:hAnsi="Times New Roman" w:cs="Times New Roman"/>
          <w:sz w:val="24"/>
          <w:szCs w:val="24"/>
        </w:rPr>
        <w:instrText>ADDIN CSL_CITATION {"citationItems":[{"id":"ITEM-1","itemData":{"URL":"https://scholar.google.com/scholar?hl=en&amp;as_sdt=0%2C5&amp;q=Just-in-time+learning+M+Sambataro%2C+2000&amp;btnG=","accessed":{"date-parts":[["2022","11","1"]]},"author":[{"dropping-particle":"","family":"M Sambataro","given":"","non-dropping-particle":"","parse-names":false,"suffix":""}],"container-title":"Computerworld","id":"ITEM-1","issued":{"date-parts":[["2000"]]},"title":"Just-in-time learning","type":"webpage"},"uris":["http://www.mendeley.com/documents/?uuid=c2aee3c3-2bbf-3837-9360-3665218b2670"]}],"mendeley":{"formattedCitation":"(M Sambataro, 2000)","manualFormatting":"(Sambataro, 2000)","plainTextFormattedCitation":"(M Sambataro, 2000)","previouslyFormattedCitation":"(M Sambataro, 2000)"},"properties":{"noteIndex":0},"schema":"https://github.com/citation-style-language/schema/raw/master/csl-citation.json"}</w:instrText>
      </w:r>
      <w:r w:rsidR="00204A9C">
        <w:rPr>
          <w:rFonts w:ascii="Times New Roman" w:hAnsi="Times New Roman" w:cs="Times New Roman"/>
          <w:sz w:val="24"/>
          <w:szCs w:val="24"/>
        </w:rPr>
        <w:fldChar w:fldCharType="separate"/>
      </w:r>
      <w:r w:rsidR="002E4B75">
        <w:rPr>
          <w:rFonts w:ascii="Times New Roman" w:hAnsi="Times New Roman" w:cs="Times New Roman"/>
          <w:noProof/>
          <w:sz w:val="24"/>
          <w:szCs w:val="24"/>
        </w:rPr>
        <w:t>(</w:t>
      </w:r>
      <w:r w:rsidR="00204A9C" w:rsidRPr="00204A9C">
        <w:rPr>
          <w:rFonts w:ascii="Times New Roman" w:hAnsi="Times New Roman" w:cs="Times New Roman"/>
          <w:noProof/>
          <w:sz w:val="24"/>
          <w:szCs w:val="24"/>
        </w:rPr>
        <w:t>Sambataro, 2000)</w:t>
      </w:r>
      <w:r w:rsidR="00204A9C">
        <w:rPr>
          <w:rFonts w:ascii="Times New Roman" w:hAnsi="Times New Roman" w:cs="Times New Roman"/>
          <w:sz w:val="24"/>
          <w:szCs w:val="24"/>
        </w:rPr>
        <w:fldChar w:fldCharType="end"/>
      </w:r>
      <w:r w:rsidR="00F23860">
        <w:rPr>
          <w:rFonts w:ascii="Times New Roman" w:hAnsi="Times New Roman" w:cs="Times New Roman"/>
          <w:sz w:val="24"/>
          <w:szCs w:val="24"/>
        </w:rPr>
        <w:t xml:space="preserve">. </w:t>
      </w:r>
      <w:r w:rsidR="00F23860" w:rsidRPr="00F23860">
        <w:rPr>
          <w:rFonts w:ascii="Times New Roman" w:hAnsi="Times New Roman" w:cs="Times New Roman"/>
          <w:sz w:val="24"/>
          <w:szCs w:val="24"/>
        </w:rPr>
        <w:t>From the work-based learning perspective, micro</w:t>
      </w:r>
      <w:r w:rsidR="00F23860">
        <w:rPr>
          <w:rFonts w:ascii="Times New Roman" w:hAnsi="Times New Roman" w:cs="Times New Roman"/>
          <w:sz w:val="24"/>
          <w:szCs w:val="24"/>
        </w:rPr>
        <w:t xml:space="preserve">learning has been considered as </w:t>
      </w:r>
      <w:r w:rsidR="00F23860" w:rsidRPr="00F23860">
        <w:rPr>
          <w:rFonts w:ascii="Times New Roman" w:hAnsi="Times New Roman" w:cs="Times New Roman"/>
          <w:sz w:val="24"/>
          <w:szCs w:val="24"/>
        </w:rPr>
        <w:t>one of the key topics in talent development topics. Policymakers, educators, researchers and participators have</w:t>
      </w:r>
      <w:r w:rsidR="00F23860">
        <w:rPr>
          <w:rFonts w:ascii="Times New Roman" w:hAnsi="Times New Roman" w:cs="Times New Roman"/>
          <w:sz w:val="24"/>
          <w:szCs w:val="24"/>
        </w:rPr>
        <w:t xml:space="preserve"> </w:t>
      </w:r>
      <w:r w:rsidR="00F23860" w:rsidRPr="00F23860">
        <w:rPr>
          <w:rFonts w:ascii="Times New Roman" w:hAnsi="Times New Roman" w:cs="Times New Roman"/>
          <w:sz w:val="24"/>
          <w:szCs w:val="24"/>
        </w:rPr>
        <w:t>the responsibility to explore how to promote, design and use microlearning to help people to learn in the right</w:t>
      </w:r>
      <w:r w:rsidR="00F23860">
        <w:rPr>
          <w:rFonts w:ascii="Times New Roman" w:hAnsi="Times New Roman" w:cs="Times New Roman"/>
          <w:sz w:val="24"/>
          <w:szCs w:val="24"/>
        </w:rPr>
        <w:t xml:space="preserve"> </w:t>
      </w:r>
      <w:r w:rsidR="00F23860" w:rsidRPr="00F23860">
        <w:rPr>
          <w:rFonts w:ascii="Times New Roman" w:hAnsi="Times New Roman" w:cs="Times New Roman"/>
          <w:sz w:val="24"/>
          <w:szCs w:val="24"/>
        </w:rPr>
        <w:t>direction through valid knowledge with ethical consideration</w:t>
      </w:r>
      <w:r w:rsidR="00F23860">
        <w:rPr>
          <w:rFonts w:ascii="Times New Roman" w:hAnsi="Times New Roman" w:cs="Times New Roman"/>
          <w:sz w:val="24"/>
          <w:szCs w:val="24"/>
        </w:rPr>
        <w:t xml:space="preserve"> </w:t>
      </w:r>
      <w:r w:rsidR="00F23860">
        <w:rPr>
          <w:rFonts w:ascii="Times New Roman" w:hAnsi="Times New Roman" w:cs="Times New Roman"/>
          <w:sz w:val="24"/>
          <w:szCs w:val="24"/>
        </w:rPr>
        <w:fldChar w:fldCharType="begin" w:fldLock="1"/>
      </w:r>
      <w:r w:rsidR="00723FF6">
        <w:rPr>
          <w:rFonts w:ascii="Times New Roman" w:hAnsi="Times New Roman" w:cs="Times New Roman"/>
          <w:sz w:val="24"/>
          <w:szCs w:val="24"/>
        </w:rPr>
        <w:instrText>ADDIN CSL_CITATION {"citationItems":[{"id":"ITEM-1","itemData":{"DOI":"10.1108/JWAM-10-2020-0044/FULL/HTML","ISSN":"2205149X","abstract":"Purpose: Microlearning has been considered as a promising topic in work-based learning. This paper aims to review the trends of microlearning in terms of related publications and Internet searches. Hopefully, the findings can serve as a reference for the education sector, government, business and academia to promote, design and use microlearning. Design/methodology/approach: In this study, two sets of analysis were conducted. Firstly, the authors analysed the publication trend of microlearning. Second, the authors analysed the trend of Internet searches related to microlearning. More specifically, the authors analysed real-world data of 14 years obtained from Scopus and Google Trends for the purpose. These data include the first relevant publication found in the database. Findings: In total, 476 relevant publications have been identified during 2006–2019. According to the findings from the analysis of the identified publications, microlearning is a relevantly new and emerging global topic involving authors, affiliations and funding sponsors from different countries. Moreover, many microlearning-related publications were conducted from perspectives of e-learning or mobile learning. Furthermore, the authors notice higher education was the most frequently mentioned education level in the identified publications. On the other hand, language learning (i.e. second language, vocabulary learning, etc.) had been mentioned more times in the titles and abstracts than other subject areas. Overall, the increasing trend of publications on “microlearning” (as a knowledge supply) is in line with the established increasing Internet searches of “microlearning” (as a practical demand) in recent years. Practical implications: From the work-based learning perspective, microlearning has been considered as one of the key topics in talent development topics. Policymakers, educators, researchers and participators have the responsibility to explore how to promote, design and use microlearning to help people to learn in the right direction through valid knowledge with ethical consideration. Originality/value: Although many works had been done on microlearning, there is a lack of comprehensive studies reviewing the trends of microlearning in terms of related publications and Internet searches. This study aims to fill this gap by analysing real-world data obtained from Scopus and Google Trends – these data include the first relevant publication found in the database. The authors be…","author":[{"dropping-particle":"","family":"Leong","given":"Kelvin","non-dropping-particle":"","parse-names":false,"suffix":""},{"dropping-particle":"","family":"Sung","given":"Anna","non-dropping-particle":"","parse-names":false,"suffix":""},{"dropping-particle":"","family":"Au","given":"David","non-dropping-particle":"","parse-names":false,"suffix":""},{"dropping-particle":"","family":"Blanchard","given":"Claire","non-dropping-particle":"","parse-names":false,"suffix":""}],"container-title":"Journal of Work-Applied Management","id":"ITEM-1","issue":"1","issued":{"date-parts":[["2021","4","26"]]},"page":"88-102","publisher":"Emerald Group Holdings Ltd.","title":"A review of the trend of microlearning","type":"article-journal","volume":"13"},"uris":["http://www.mendeley.com/documents/?uuid=f77a2792-a97e-3e96-ba7b-5921260e0cd1"]}],"mendeley":{"formattedCitation":"(Leong &lt;i&gt;et al.&lt;/i&gt;, 2021)","plainTextFormattedCitation":"(Leong et al., 2021)","previouslyFormattedCitation":"(Leong &lt;i&gt;et al.&lt;/i&gt;, 2021)"},"properties":{"noteIndex":0},"schema":"https://github.com/citation-style-language/schema/raw/master/csl-citation.json"}</w:instrText>
      </w:r>
      <w:r w:rsidR="00F23860">
        <w:rPr>
          <w:rFonts w:ascii="Times New Roman" w:hAnsi="Times New Roman" w:cs="Times New Roman"/>
          <w:sz w:val="24"/>
          <w:szCs w:val="24"/>
        </w:rPr>
        <w:fldChar w:fldCharType="separate"/>
      </w:r>
      <w:r w:rsidR="00F23860" w:rsidRPr="00F23860">
        <w:rPr>
          <w:rFonts w:ascii="Times New Roman" w:hAnsi="Times New Roman" w:cs="Times New Roman"/>
          <w:noProof/>
          <w:sz w:val="24"/>
          <w:szCs w:val="24"/>
        </w:rPr>
        <w:t xml:space="preserve">(Leong </w:t>
      </w:r>
      <w:r w:rsidR="00F23860" w:rsidRPr="00507B16">
        <w:rPr>
          <w:rFonts w:ascii="Times New Roman" w:hAnsi="Times New Roman" w:cs="Times New Roman"/>
          <w:noProof/>
          <w:sz w:val="24"/>
          <w:szCs w:val="24"/>
        </w:rPr>
        <w:t>et al.</w:t>
      </w:r>
      <w:r w:rsidR="00F23860" w:rsidRPr="00F23860">
        <w:rPr>
          <w:rFonts w:ascii="Times New Roman" w:hAnsi="Times New Roman" w:cs="Times New Roman"/>
          <w:noProof/>
          <w:sz w:val="24"/>
          <w:szCs w:val="24"/>
        </w:rPr>
        <w:t>, 2021)</w:t>
      </w:r>
      <w:r w:rsidR="00F23860">
        <w:rPr>
          <w:rFonts w:ascii="Times New Roman" w:hAnsi="Times New Roman" w:cs="Times New Roman"/>
          <w:sz w:val="24"/>
          <w:szCs w:val="24"/>
        </w:rPr>
        <w:fldChar w:fldCharType="end"/>
      </w:r>
    </w:p>
    <w:p w:rsidR="000850E7" w:rsidRPr="00AE0C61" w:rsidRDefault="000850E7" w:rsidP="002037E9">
      <w:pPr>
        <w:pStyle w:val="Heading1"/>
        <w:numPr>
          <w:ilvl w:val="0"/>
          <w:numId w:val="13"/>
        </w:numPr>
        <w:ind w:left="426"/>
        <w:rPr>
          <w:rFonts w:ascii="Times New Roman" w:hAnsi="Times New Roman" w:cs="Times New Roman"/>
          <w:b/>
          <w:color w:val="000000" w:themeColor="text1"/>
          <w:sz w:val="24"/>
          <w:szCs w:val="24"/>
        </w:rPr>
      </w:pPr>
      <w:bookmarkStart w:id="7" w:name="_Toc119880499"/>
      <w:r w:rsidRPr="00AE0C61">
        <w:rPr>
          <w:rFonts w:ascii="Times New Roman" w:hAnsi="Times New Roman" w:cs="Times New Roman"/>
          <w:b/>
          <w:color w:val="000000" w:themeColor="text1"/>
          <w:sz w:val="24"/>
          <w:szCs w:val="24"/>
        </w:rPr>
        <w:lastRenderedPageBreak/>
        <w:t>Root Cause Analysis</w:t>
      </w:r>
      <w:bookmarkEnd w:id="7"/>
    </w:p>
    <w:p w:rsidR="000850E7" w:rsidRPr="007A2E69" w:rsidRDefault="000850E7" w:rsidP="009C31F7">
      <w:pPr>
        <w:spacing w:after="0" w:line="360" w:lineRule="auto"/>
        <w:rPr>
          <w:rFonts w:ascii="Times New Roman" w:hAnsi="Times New Roman" w:cs="Times New Roman"/>
          <w:sz w:val="24"/>
          <w:szCs w:val="24"/>
        </w:rPr>
      </w:pPr>
    </w:p>
    <w:p w:rsidR="007A2E69" w:rsidRPr="007A2E69" w:rsidRDefault="00E7332A" w:rsidP="00E7332A">
      <w:pPr>
        <w:spacing w:line="360" w:lineRule="auto"/>
        <w:jc w:val="both"/>
        <w:rPr>
          <w:rFonts w:ascii="Times New Roman" w:hAnsi="Times New Roman" w:cs="Times New Roman"/>
          <w:sz w:val="24"/>
          <w:szCs w:val="24"/>
        </w:rPr>
      </w:pPr>
      <w:r w:rsidRPr="00E7332A">
        <w:rPr>
          <w:rFonts w:ascii="Times New Roman" w:hAnsi="Times New Roman" w:cs="Times New Roman"/>
          <w:sz w:val="24"/>
          <w:szCs w:val="24"/>
        </w:rPr>
        <w:t>Many studies indicate that the most important factor ot</w:t>
      </w:r>
      <w:r w:rsidR="007F0C0C">
        <w:rPr>
          <w:rFonts w:ascii="Times New Roman" w:hAnsi="Times New Roman" w:cs="Times New Roman"/>
          <w:sz w:val="24"/>
          <w:szCs w:val="24"/>
        </w:rPr>
        <w:t xml:space="preserve">her </w:t>
      </w:r>
      <w:r w:rsidR="00AE65C6" w:rsidRPr="00E7332A">
        <w:rPr>
          <w:rFonts w:ascii="Times New Roman" w:hAnsi="Times New Roman" w:cs="Times New Roman"/>
          <w:sz w:val="24"/>
          <w:szCs w:val="24"/>
        </w:rPr>
        <w:t>than</w:t>
      </w:r>
      <w:r w:rsidR="00AE65C6">
        <w:rPr>
          <w:rFonts w:ascii="Times New Roman" w:hAnsi="Times New Roman" w:cs="Times New Roman"/>
          <w:sz w:val="24"/>
          <w:szCs w:val="24"/>
        </w:rPr>
        <w:t xml:space="preserve"> </w:t>
      </w:r>
      <w:r w:rsidR="007F0C0C">
        <w:rPr>
          <w:rFonts w:ascii="Times New Roman" w:hAnsi="Times New Roman" w:cs="Times New Roman"/>
          <w:sz w:val="24"/>
          <w:szCs w:val="24"/>
        </w:rPr>
        <w:t>limitations to implement</w:t>
      </w:r>
      <w:r w:rsidR="00070973">
        <w:rPr>
          <w:rFonts w:ascii="Times New Roman" w:hAnsi="Times New Roman" w:cs="Times New Roman"/>
          <w:sz w:val="24"/>
          <w:szCs w:val="24"/>
        </w:rPr>
        <w:t>ation</w:t>
      </w:r>
      <w:r w:rsidR="007F0C0C">
        <w:rPr>
          <w:rFonts w:ascii="Times New Roman" w:hAnsi="Times New Roman" w:cs="Times New Roman"/>
          <w:sz w:val="24"/>
          <w:szCs w:val="24"/>
        </w:rPr>
        <w:t xml:space="preserve"> of</w:t>
      </w:r>
      <w:r w:rsidR="00070973">
        <w:rPr>
          <w:rFonts w:ascii="Times New Roman" w:hAnsi="Times New Roman" w:cs="Times New Roman"/>
          <w:sz w:val="24"/>
          <w:szCs w:val="24"/>
        </w:rPr>
        <w:t xml:space="preserve"> EHR is</w:t>
      </w:r>
      <w:r w:rsidRPr="00E7332A">
        <w:rPr>
          <w:rFonts w:ascii="Times New Roman" w:hAnsi="Times New Roman" w:cs="Times New Roman"/>
          <w:sz w:val="24"/>
          <w:szCs w:val="24"/>
        </w:rPr>
        <w:t xml:space="preserve"> resistance to change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F0C0C">
        <w:rPr>
          <w:rFonts w:ascii="Times New Roman" w:hAnsi="Times New Roman" w:cs="Times New Roman"/>
          <w:sz w:val="24"/>
          <w:szCs w:val="24"/>
        </w:rPr>
        <w:instrText>ADDIN CSL_CITATION {"citationItems":[{"id":"ITEM-1","itemData":{"DOI":"10.5455/msm.2013.25.213-215","ISSN":"1512-7680","PMID":"24167440","abstract":"INTRODUCTION During the past 20 years, with huge advances in information technology and particularly in the areas of health, various forms of electronic records have been studied, analyzed, designed or implemented. An Electronic Health Records (EHRs) is defined as digitally stored healthcare information throughout an individual's lifetime with the purpose of supporting continuity of care, education, and research. The EHRs may include such things as observations, laboratory tests, medical images, treatments, therapies; drugs administered, patient identifying information, legal permissions, and so on. Despite of the potential benefits of electronic health records, implement of this project facing with barriers and restriction ,that the most of these limitations are cost constraints, technical limitations, standardization limits, attitudinal constraints-behavior of individuals and organizational constraints. AIM The aim of this study was to express the main barriers to implement EHRs. METHODS This study was unsystematic-review study. The literature was searched on main barriers to implement EHRs with the help of library, books, conference proceedings, data bank, and also searches engines available at Google, Google scholar. For our searches, we employed the following keywords and their combinations: Electronic health record, implement, obstacle, and information technology in the searching areas of title, keywords, abstract, and full text. RESULTS AND DISCUSSION In this study, more than 43 articles and reports were collected and 32 of them were selected based on their relevancy. Many studies indicate that the most important factor than other limitations to implement the EHR are resistance to change.","author":[{"dropping-particle":"","family":"Ajami","given":"Sima","non-dropping-particle":"","parse-names":false,"suffix":""},{"dropping-particle":"","family":"ArabChadegani","given":"Razieh","non-dropping-particle":"","parse-names":false,"suffix":""}],"container-title":"Materia Socio Medica","id":"ITEM-1","issue":"3","issued":{"date-parts":[["2013"]]},"page":"213","title":"Barriers to implement Electronic Health Records (EHRs)","type":"article-journal","volume":"25"},"uris":["http://www.mendeley.com/documents/?uuid=7aabbfef-9b43-4fc6-b373-dd5fc1106446"]}],"mendeley":{"formattedCitation":"(Ajami and ArabChadegani, 2013)","plainTextFormattedCitation":"(Ajami and ArabChadegani, 2013)","previouslyFormattedCitation":"(Ajami and ArabChadegani, 2013)"},"properties":{"noteIndex":0},"schema":"https://github.com/citation-style-language/schema/raw/master/csl-citation.json"}</w:instrText>
      </w:r>
      <w:r>
        <w:rPr>
          <w:rFonts w:ascii="Times New Roman" w:hAnsi="Times New Roman" w:cs="Times New Roman"/>
          <w:sz w:val="24"/>
          <w:szCs w:val="24"/>
        </w:rPr>
        <w:fldChar w:fldCharType="separate"/>
      </w:r>
      <w:r w:rsidR="004619D9">
        <w:rPr>
          <w:rFonts w:ascii="Times New Roman" w:hAnsi="Times New Roman" w:cs="Times New Roman"/>
          <w:noProof/>
          <w:sz w:val="24"/>
          <w:szCs w:val="24"/>
        </w:rPr>
        <w:t>(Ajami &amp;</w:t>
      </w:r>
      <w:r w:rsidRPr="00E7332A">
        <w:rPr>
          <w:rFonts w:ascii="Times New Roman" w:hAnsi="Times New Roman" w:cs="Times New Roman"/>
          <w:noProof/>
          <w:sz w:val="24"/>
          <w:szCs w:val="24"/>
        </w:rPr>
        <w:t xml:space="preserve"> ArabChadegani, 2013)</w:t>
      </w:r>
      <w:r>
        <w:rPr>
          <w:rFonts w:ascii="Times New Roman" w:hAnsi="Times New Roman" w:cs="Times New Roman"/>
          <w:sz w:val="24"/>
          <w:szCs w:val="24"/>
        </w:rPr>
        <w:fldChar w:fldCharType="end"/>
      </w:r>
      <w:r w:rsidRPr="00E7332A">
        <w:rPr>
          <w:rFonts w:ascii="Times New Roman" w:hAnsi="Times New Roman" w:cs="Times New Roman"/>
          <w:sz w:val="24"/>
          <w:szCs w:val="24"/>
        </w:rPr>
        <w:t xml:space="preserve">. </w:t>
      </w:r>
      <w:r w:rsidR="00630D03">
        <w:rPr>
          <w:rFonts w:ascii="Times New Roman" w:hAnsi="Times New Roman" w:cs="Times New Roman"/>
          <w:sz w:val="24"/>
          <w:szCs w:val="24"/>
        </w:rPr>
        <w:t>A</w:t>
      </w:r>
      <w:r w:rsidR="007F0C0C" w:rsidRPr="00E7332A">
        <w:rPr>
          <w:rFonts w:ascii="Times New Roman" w:hAnsi="Times New Roman" w:cs="Times New Roman"/>
          <w:sz w:val="24"/>
          <w:szCs w:val="24"/>
        </w:rPr>
        <w:t xml:space="preserve"> study in the United Sta</w:t>
      </w:r>
      <w:r w:rsidR="00AB4D4C">
        <w:rPr>
          <w:rFonts w:ascii="Times New Roman" w:hAnsi="Times New Roman" w:cs="Times New Roman"/>
          <w:sz w:val="24"/>
          <w:szCs w:val="24"/>
        </w:rPr>
        <w:t>tes</w:t>
      </w:r>
      <w:r w:rsidR="00B12076">
        <w:rPr>
          <w:rFonts w:ascii="Times New Roman" w:hAnsi="Times New Roman" w:cs="Times New Roman"/>
          <w:sz w:val="24"/>
          <w:szCs w:val="24"/>
        </w:rPr>
        <w:t xml:space="preserve"> on</w:t>
      </w:r>
      <w:r w:rsidR="007F0C0C" w:rsidRPr="00E7332A">
        <w:rPr>
          <w:rFonts w:ascii="Times New Roman" w:hAnsi="Times New Roman" w:cs="Times New Roman"/>
          <w:sz w:val="24"/>
          <w:szCs w:val="24"/>
        </w:rPr>
        <w:t xml:space="preserve"> successful implementati</w:t>
      </w:r>
      <w:r w:rsidR="007F0C0C">
        <w:rPr>
          <w:rFonts w:ascii="Times New Roman" w:hAnsi="Times New Roman" w:cs="Times New Roman"/>
          <w:sz w:val="24"/>
          <w:szCs w:val="24"/>
        </w:rPr>
        <w:t xml:space="preserve">on of </w:t>
      </w:r>
      <w:r w:rsidR="00B12076">
        <w:rPr>
          <w:rFonts w:ascii="Times New Roman" w:hAnsi="Times New Roman" w:cs="Times New Roman"/>
          <w:sz w:val="24"/>
          <w:szCs w:val="24"/>
        </w:rPr>
        <w:t>EHR</w:t>
      </w:r>
      <w:r w:rsidR="007F0C0C">
        <w:rPr>
          <w:rFonts w:ascii="Times New Roman" w:hAnsi="Times New Roman" w:cs="Times New Roman"/>
          <w:sz w:val="24"/>
          <w:szCs w:val="24"/>
        </w:rPr>
        <w:t xml:space="preserve"> </w:t>
      </w:r>
      <w:r w:rsidR="007F0C0C" w:rsidRPr="00E7332A">
        <w:rPr>
          <w:rFonts w:ascii="Times New Roman" w:hAnsi="Times New Roman" w:cs="Times New Roman"/>
          <w:sz w:val="24"/>
          <w:szCs w:val="24"/>
        </w:rPr>
        <w:t>in small ambulatory</w:t>
      </w:r>
      <w:r w:rsidR="007F0C0C">
        <w:rPr>
          <w:rFonts w:ascii="Times New Roman" w:hAnsi="Times New Roman" w:cs="Times New Roman"/>
          <w:sz w:val="24"/>
          <w:szCs w:val="24"/>
        </w:rPr>
        <w:t xml:space="preserve"> practice setting perform shows </w:t>
      </w:r>
      <w:r w:rsidR="00B12076">
        <w:rPr>
          <w:rFonts w:ascii="Times New Roman" w:hAnsi="Times New Roman" w:cs="Times New Roman"/>
          <w:sz w:val="24"/>
          <w:szCs w:val="24"/>
        </w:rPr>
        <w:t>that the EHR</w:t>
      </w:r>
      <w:r w:rsidR="007F0C0C" w:rsidRPr="00E7332A">
        <w:rPr>
          <w:rFonts w:ascii="Times New Roman" w:hAnsi="Times New Roman" w:cs="Times New Roman"/>
          <w:sz w:val="24"/>
          <w:szCs w:val="24"/>
        </w:rPr>
        <w:t xml:space="preserve"> implementation </w:t>
      </w:r>
      <w:r w:rsidR="007F0C0C">
        <w:rPr>
          <w:rFonts w:ascii="Times New Roman" w:hAnsi="Times New Roman" w:cs="Times New Roman"/>
          <w:sz w:val="24"/>
          <w:szCs w:val="24"/>
        </w:rPr>
        <w:t xml:space="preserve">experience depends on </w:t>
      </w:r>
      <w:r w:rsidR="007F0C0C" w:rsidRPr="00E7332A">
        <w:rPr>
          <w:rFonts w:ascii="Times New Roman" w:hAnsi="Times New Roman" w:cs="Times New Roman"/>
          <w:sz w:val="24"/>
          <w:szCs w:val="24"/>
        </w:rPr>
        <w:t>the te</w:t>
      </w:r>
      <w:r w:rsidR="007F0C0C">
        <w:rPr>
          <w:rFonts w:ascii="Times New Roman" w:hAnsi="Times New Roman" w:cs="Times New Roman"/>
          <w:sz w:val="24"/>
          <w:szCs w:val="24"/>
        </w:rPr>
        <w:t xml:space="preserve">chnology, training, leadership, </w:t>
      </w:r>
      <w:r w:rsidR="007F0C0C" w:rsidRPr="00E7332A">
        <w:rPr>
          <w:rFonts w:ascii="Times New Roman" w:hAnsi="Times New Roman" w:cs="Times New Roman"/>
          <w:sz w:val="24"/>
          <w:szCs w:val="24"/>
        </w:rPr>
        <w:t>the change managem</w:t>
      </w:r>
      <w:r w:rsidR="007F0C0C">
        <w:rPr>
          <w:rFonts w:ascii="Times New Roman" w:hAnsi="Times New Roman" w:cs="Times New Roman"/>
          <w:sz w:val="24"/>
          <w:szCs w:val="24"/>
        </w:rPr>
        <w:t xml:space="preserve">ent process, and the individual </w:t>
      </w:r>
      <w:r w:rsidR="007F0C0C" w:rsidRPr="00E7332A">
        <w:rPr>
          <w:rFonts w:ascii="Times New Roman" w:hAnsi="Times New Roman" w:cs="Times New Roman"/>
          <w:sz w:val="24"/>
          <w:szCs w:val="24"/>
        </w:rPr>
        <w:t>character</w:t>
      </w:r>
      <w:r w:rsidR="007F0C0C">
        <w:rPr>
          <w:rFonts w:ascii="Times New Roman" w:hAnsi="Times New Roman" w:cs="Times New Roman"/>
          <w:sz w:val="24"/>
          <w:szCs w:val="24"/>
        </w:rPr>
        <w:t xml:space="preserve"> </w:t>
      </w:r>
      <w:r w:rsidR="007F0C0C">
        <w:rPr>
          <w:rFonts w:ascii="Times New Roman" w:hAnsi="Times New Roman" w:cs="Times New Roman"/>
          <w:sz w:val="24"/>
          <w:szCs w:val="24"/>
        </w:rPr>
        <w:fldChar w:fldCharType="begin" w:fldLock="1"/>
      </w:r>
      <w:r w:rsidR="001A4833">
        <w:rPr>
          <w:rFonts w:ascii="Times New Roman" w:hAnsi="Times New Roman" w:cs="Times New Roman"/>
          <w:sz w:val="24"/>
          <w:szCs w:val="24"/>
        </w:rPr>
        <w:instrText>ADDIN CSL_CITATION {"citationItems":[{"id":"ITEM-1","itemData":{"DOI":"10.1136/jamia.2000.0070116","ISSN":"10675027","PMID":"10730594","abstract":"As increasingly powerful informatics systems are designed, developed, and implemented, they inevitably affect larger, more heterogeneous groups of people and more organizational areas. In turn, the major challenges to system success are often more behavioral than technical. Successfully introducing such systems into complex health care organizations requires an effective blend of good technical and good organizational skills. People who have low psychological ownership in a system and who vigorously resist its implementation can bring a 'technically best' system to its knees. However, effective leadership can sharply reduce the behavioral resistance to change - including to new technologies - to achieve a more rapid and productive introduction of informatics technology. This paper looks at four major areas - why information system failures occur, the core theories supporting change management, the practical applications of change management, and the change management efforts in informatics.","author":[{"dropping-particle":"","family":"Lorenzi","given":"Nancy M.","non-dropping-particle":"","parse-names":false,"suffix":""},{"dropping-particle":"","family":"Riley","given":"Robert T.","non-dropping-particle":"","parse-names":false,"suffix":""}],"container-title":"Journal of the American Medical Informatics Association","id":"ITEM-1","issue":"2","issued":{"date-parts":[["2000"]]},"page":"116-124","publisher":"Hanley and Belfus Inc.","title":"Managing change: An overview","type":"article-journal","volume":"7"},"uris":["http://www.mendeley.com/documents/?uuid=35c2d0e6-0eb9-3a7f-84f8-71ccd4f7a2e8"]}],"mendeley":{"formattedCitation":"(Lorenzi and Riley, 2000)","plainTextFormattedCitation":"(Lorenzi and Riley, 2000)","previouslyFormattedCitation":"(Lorenzi and Riley, 2000)"},"properties":{"noteIndex":0},"schema":"https://github.com/citation-style-language/schema/raw/master/csl-citation.json"}</w:instrText>
      </w:r>
      <w:r w:rsidR="007F0C0C">
        <w:rPr>
          <w:rFonts w:ascii="Times New Roman" w:hAnsi="Times New Roman" w:cs="Times New Roman"/>
          <w:sz w:val="24"/>
          <w:szCs w:val="24"/>
        </w:rPr>
        <w:fldChar w:fldCharType="separate"/>
      </w:r>
      <w:r w:rsidR="007F0C0C" w:rsidRPr="007F0C0C">
        <w:rPr>
          <w:rFonts w:ascii="Times New Roman" w:hAnsi="Times New Roman" w:cs="Times New Roman"/>
          <w:noProof/>
          <w:sz w:val="24"/>
          <w:szCs w:val="24"/>
        </w:rPr>
        <w:t xml:space="preserve">(Lorenzi </w:t>
      </w:r>
      <w:r w:rsidR="004619D9">
        <w:rPr>
          <w:rFonts w:ascii="Times New Roman" w:hAnsi="Times New Roman" w:cs="Times New Roman"/>
          <w:noProof/>
          <w:sz w:val="24"/>
          <w:szCs w:val="24"/>
        </w:rPr>
        <w:t>&amp;</w:t>
      </w:r>
      <w:r w:rsidR="007F0C0C" w:rsidRPr="007F0C0C">
        <w:rPr>
          <w:rFonts w:ascii="Times New Roman" w:hAnsi="Times New Roman" w:cs="Times New Roman"/>
          <w:noProof/>
          <w:sz w:val="24"/>
          <w:szCs w:val="24"/>
        </w:rPr>
        <w:t xml:space="preserve"> Riley, 2000)</w:t>
      </w:r>
      <w:r w:rsidR="007F0C0C">
        <w:rPr>
          <w:rFonts w:ascii="Times New Roman" w:hAnsi="Times New Roman" w:cs="Times New Roman"/>
          <w:sz w:val="24"/>
          <w:szCs w:val="24"/>
        </w:rPr>
        <w:fldChar w:fldCharType="end"/>
      </w:r>
      <w:r w:rsidR="007F0C0C">
        <w:rPr>
          <w:rFonts w:ascii="Times New Roman" w:hAnsi="Times New Roman" w:cs="Times New Roman"/>
          <w:sz w:val="24"/>
          <w:szCs w:val="24"/>
        </w:rPr>
        <w:t xml:space="preserve">. </w:t>
      </w:r>
      <w:r w:rsidR="00FD2E25">
        <w:rPr>
          <w:rFonts w:ascii="Times New Roman" w:hAnsi="Times New Roman" w:cs="Times New Roman"/>
          <w:sz w:val="24"/>
          <w:szCs w:val="24"/>
        </w:rPr>
        <w:t>A systematic review on b</w:t>
      </w:r>
      <w:r w:rsidR="00FD2E25" w:rsidRPr="00FD2E25">
        <w:rPr>
          <w:rFonts w:ascii="Times New Roman" w:hAnsi="Times New Roman" w:cs="Times New Roman"/>
          <w:sz w:val="24"/>
          <w:szCs w:val="24"/>
        </w:rPr>
        <w:t xml:space="preserve">arriers to </w:t>
      </w:r>
      <w:r w:rsidR="00FD2E25">
        <w:rPr>
          <w:rFonts w:ascii="Times New Roman" w:hAnsi="Times New Roman" w:cs="Times New Roman"/>
          <w:sz w:val="24"/>
          <w:szCs w:val="24"/>
        </w:rPr>
        <w:t>EHR a</w:t>
      </w:r>
      <w:r w:rsidR="00FD2E25" w:rsidRPr="00FD2E25">
        <w:rPr>
          <w:rFonts w:ascii="Times New Roman" w:hAnsi="Times New Roman" w:cs="Times New Roman"/>
          <w:sz w:val="24"/>
          <w:szCs w:val="24"/>
        </w:rPr>
        <w:t>doption</w:t>
      </w:r>
      <w:r w:rsidR="00FD2E25">
        <w:rPr>
          <w:rFonts w:ascii="Times New Roman" w:hAnsi="Times New Roman" w:cs="Times New Roman"/>
          <w:sz w:val="24"/>
          <w:szCs w:val="24"/>
        </w:rPr>
        <w:t xml:space="preserve"> found </w:t>
      </w:r>
      <w:r w:rsidR="006A21BC">
        <w:rPr>
          <w:rFonts w:ascii="Times New Roman" w:hAnsi="Times New Roman" w:cs="Times New Roman"/>
          <w:sz w:val="24"/>
          <w:szCs w:val="24"/>
        </w:rPr>
        <w:t>t</w:t>
      </w:r>
      <w:r w:rsidR="006A21BC" w:rsidRPr="006A21BC">
        <w:rPr>
          <w:rFonts w:ascii="Times New Roman" w:hAnsi="Times New Roman" w:cs="Times New Roman"/>
          <w:sz w:val="24"/>
          <w:szCs w:val="24"/>
        </w:rPr>
        <w:t xml:space="preserve">raining </w:t>
      </w:r>
      <w:r w:rsidR="006A21BC">
        <w:rPr>
          <w:rFonts w:ascii="Times New Roman" w:hAnsi="Times New Roman" w:cs="Times New Roman"/>
          <w:sz w:val="24"/>
          <w:szCs w:val="24"/>
        </w:rPr>
        <w:t xml:space="preserve">to </w:t>
      </w:r>
      <w:r w:rsidR="006A21BC" w:rsidRPr="006A21BC">
        <w:rPr>
          <w:rFonts w:ascii="Times New Roman" w:hAnsi="Times New Roman" w:cs="Times New Roman"/>
          <w:sz w:val="24"/>
          <w:szCs w:val="24"/>
        </w:rPr>
        <w:t>appeared 5.6 % of all occurrences</w:t>
      </w:r>
      <w:r w:rsidR="006A21BC">
        <w:rPr>
          <w:rFonts w:ascii="Times New Roman" w:hAnsi="Times New Roman" w:cs="Times New Roman"/>
          <w:sz w:val="24"/>
          <w:szCs w:val="24"/>
        </w:rPr>
        <w:t xml:space="preserve"> of significant barriers that were included in </w:t>
      </w:r>
      <w:r w:rsidR="00D427DB">
        <w:rPr>
          <w:rFonts w:ascii="Times New Roman" w:hAnsi="Times New Roman" w:cs="Times New Roman"/>
          <w:sz w:val="24"/>
          <w:szCs w:val="24"/>
        </w:rPr>
        <w:t>the</w:t>
      </w:r>
      <w:r w:rsidR="006A21BC">
        <w:rPr>
          <w:rFonts w:ascii="Times New Roman" w:hAnsi="Times New Roman" w:cs="Times New Roman"/>
          <w:sz w:val="24"/>
          <w:szCs w:val="24"/>
        </w:rPr>
        <w:t xml:space="preserve"> review </w:t>
      </w:r>
      <w:r w:rsidR="006A21BC">
        <w:rPr>
          <w:rFonts w:ascii="Times New Roman" w:hAnsi="Times New Roman" w:cs="Times New Roman"/>
          <w:sz w:val="24"/>
          <w:szCs w:val="24"/>
        </w:rPr>
        <w:fldChar w:fldCharType="begin" w:fldLock="1"/>
      </w:r>
      <w:r w:rsidR="006A21BC">
        <w:rPr>
          <w:rFonts w:ascii="Times New Roman" w:hAnsi="Times New Roman" w:cs="Times New Roman"/>
          <w:sz w:val="24"/>
          <w:szCs w:val="24"/>
        </w:rPr>
        <w:instrText>ADDIN CSL_CITATION {"citationItems":[{"id":"ITEM-1","itemData":{"DOI":"10.1007/s10916-016-0628-9","ISSN":"1573689X","PMID":"27714560","abstract":"Federal efforts and local initiatives to increase adoption and use of electronic health records (EHRs) continue, particularly since the enactment of the Health Information Technology for Economic and Clinical Health (HITECH) Act. Roughly one in four hospitals not adopted even a basic EHR system. A review of the barriers may help in understanding the factors deterring certain healthcare organizations from implementation. We wanted to assemble an updated and comprehensive list of adoption barriers of EHR systems in the United States. Authors searched CINAHL, MEDLINE, and Google Scholar, and accepted only articles relevant to our primary objective. Reviewers independently assessed the works highlighted by our search and selected several for review. Through multiple consensus meetings, authors tapered articles to a final selection most germane to the topic (n = 27). Each article was thoroughly examined by multiple authors in order to achieve greater validity. Authors identified 39 barriers to EHR adoption within the literature selected for the review. These barriers appeared 125 times in the literature; the most frequently mentioned barriers were regarding cost, technical concerns, technical support, and resistance to change. Despite federal and local incentives, the initial cost of adopting an EHR is a common existing barrier. The other most commonly mentioned barriers include technical support, technical concerns, and maintenance/ongoing costs. Policy makers should consider incentives that continue to reduce implementation cost, possibly aimed more directly at organizations that are known to have lower adoption rates, such as small hospitals in rural areas.","author":[{"dropping-particle":"","family":"Kruse","given":"Clemens Scott","non-dropping-particle":"","parse-names":false,"suffix":""},{"dropping-particle":"","family":"Kristof","given":"Caitlin","non-dropping-particle":"","parse-names":false,"suffix":""},{"dropping-particle":"","family":"Jones","given":"Beau","non-dropping-particle":"","parse-names":false,"suffix":""},{"dropping-particle":"","family":"Mitchell","given":"Erica","non-dropping-particle":"","parse-names":false,"suffix":""},{"dropping-particle":"","family":"Martinez","given":"Angelica","non-dropping-particle":"","parse-names":false,"suffix":""}],"container-title":"Journal of Medical Systems","id":"ITEM-1","issue":"12","issued":{"date-parts":[["2016","12","1"]]},"publisher":"Springer New York LLC","title":"Barriers to Electronic Health Record Adoption: a Systematic Literature Review","type":"article-journal","volume":"40"},"uris":["http://www.mendeley.com/documents/?uuid=08756b20-de59-3792-9b19-d8bff59e7d27"]}],"mendeley":{"formattedCitation":"(Kruse &lt;i&gt;et al.&lt;/i&gt;, 2016)","plainTextFormattedCitation":"(Kruse et al., 2016)","previouslyFormattedCitation":"(Kruse &lt;i&gt;et al.&lt;/i&gt;, 2016)"},"properties":{"noteIndex":0},"schema":"https://github.com/citation-style-language/schema/raw/master/csl-citation.json"}</w:instrText>
      </w:r>
      <w:r w:rsidR="006A21BC">
        <w:rPr>
          <w:rFonts w:ascii="Times New Roman" w:hAnsi="Times New Roman" w:cs="Times New Roman"/>
          <w:sz w:val="24"/>
          <w:szCs w:val="24"/>
        </w:rPr>
        <w:fldChar w:fldCharType="separate"/>
      </w:r>
      <w:r w:rsidR="006A21BC" w:rsidRPr="006A21BC">
        <w:rPr>
          <w:rFonts w:ascii="Times New Roman" w:hAnsi="Times New Roman" w:cs="Times New Roman"/>
          <w:noProof/>
          <w:sz w:val="24"/>
          <w:szCs w:val="24"/>
        </w:rPr>
        <w:t xml:space="preserve">(Kruse </w:t>
      </w:r>
      <w:r w:rsidR="006A21BC" w:rsidRPr="0094011F">
        <w:rPr>
          <w:rFonts w:ascii="Times New Roman" w:hAnsi="Times New Roman" w:cs="Times New Roman"/>
          <w:noProof/>
          <w:sz w:val="24"/>
          <w:szCs w:val="24"/>
        </w:rPr>
        <w:t>et al.</w:t>
      </w:r>
      <w:r w:rsidR="006A21BC" w:rsidRPr="006A21BC">
        <w:rPr>
          <w:rFonts w:ascii="Times New Roman" w:hAnsi="Times New Roman" w:cs="Times New Roman"/>
          <w:noProof/>
          <w:sz w:val="24"/>
          <w:szCs w:val="24"/>
        </w:rPr>
        <w:t>, 2016)</w:t>
      </w:r>
      <w:r w:rsidR="006A21BC">
        <w:rPr>
          <w:rFonts w:ascii="Times New Roman" w:hAnsi="Times New Roman" w:cs="Times New Roman"/>
          <w:sz w:val="24"/>
          <w:szCs w:val="24"/>
        </w:rPr>
        <w:fldChar w:fldCharType="end"/>
      </w:r>
      <w:r w:rsidR="006A21BC">
        <w:rPr>
          <w:rFonts w:ascii="Times New Roman" w:hAnsi="Times New Roman" w:cs="Times New Roman"/>
          <w:sz w:val="24"/>
          <w:szCs w:val="24"/>
        </w:rPr>
        <w:t>.</w:t>
      </w:r>
      <w:r w:rsidRPr="00E7332A">
        <w:rPr>
          <w:rFonts w:ascii="Times New Roman" w:hAnsi="Times New Roman" w:cs="Times New Roman"/>
          <w:sz w:val="24"/>
          <w:szCs w:val="24"/>
        </w:rPr>
        <w:t xml:space="preserve"> </w:t>
      </w:r>
      <w:r w:rsidR="0094011F">
        <w:rPr>
          <w:rFonts w:ascii="Times New Roman" w:hAnsi="Times New Roman" w:cs="Times New Roman"/>
          <w:sz w:val="24"/>
          <w:szCs w:val="24"/>
        </w:rPr>
        <w:t>I</w:t>
      </w:r>
      <w:r w:rsidR="006A21BC">
        <w:rPr>
          <w:rFonts w:ascii="Times New Roman" w:hAnsi="Times New Roman" w:cs="Times New Roman"/>
          <w:sz w:val="24"/>
          <w:szCs w:val="24"/>
        </w:rPr>
        <w:t xml:space="preserve">mprovement of training is a pragmatic effort to improve TPC-OHCIS usage at this moment and supported by the current </w:t>
      </w:r>
      <w:r w:rsidR="00216206">
        <w:rPr>
          <w:rFonts w:ascii="Times New Roman" w:hAnsi="Times New Roman" w:cs="Times New Roman"/>
          <w:sz w:val="24"/>
          <w:szCs w:val="24"/>
        </w:rPr>
        <w:t xml:space="preserve">MOH </w:t>
      </w:r>
      <w:r w:rsidR="0094011F">
        <w:rPr>
          <w:rFonts w:ascii="Times New Roman" w:hAnsi="Times New Roman" w:cs="Times New Roman"/>
          <w:sz w:val="24"/>
          <w:szCs w:val="24"/>
        </w:rPr>
        <w:t>headquarters</w:t>
      </w:r>
      <w:r w:rsidR="00216206">
        <w:rPr>
          <w:rFonts w:ascii="Times New Roman" w:hAnsi="Times New Roman" w:cs="Times New Roman"/>
          <w:sz w:val="24"/>
          <w:szCs w:val="24"/>
        </w:rPr>
        <w:t xml:space="preserve">’ </w:t>
      </w:r>
      <w:r w:rsidR="006A21BC">
        <w:rPr>
          <w:rFonts w:ascii="Times New Roman" w:hAnsi="Times New Roman" w:cs="Times New Roman"/>
          <w:sz w:val="24"/>
          <w:szCs w:val="24"/>
        </w:rPr>
        <w:t>management</w:t>
      </w:r>
      <w:r w:rsidR="00B12076">
        <w:rPr>
          <w:rFonts w:ascii="Times New Roman" w:hAnsi="Times New Roman" w:cs="Times New Roman"/>
          <w:sz w:val="24"/>
          <w:szCs w:val="24"/>
        </w:rPr>
        <w:t xml:space="preserve"> as training support is </w:t>
      </w:r>
      <w:r w:rsidR="00AE6776">
        <w:rPr>
          <w:rFonts w:ascii="Times New Roman" w:hAnsi="Times New Roman" w:cs="Times New Roman"/>
          <w:sz w:val="24"/>
          <w:szCs w:val="24"/>
        </w:rPr>
        <w:t xml:space="preserve">always </w:t>
      </w:r>
      <w:r w:rsidR="00B12076">
        <w:rPr>
          <w:rFonts w:ascii="Times New Roman" w:hAnsi="Times New Roman" w:cs="Times New Roman"/>
          <w:sz w:val="24"/>
          <w:szCs w:val="24"/>
        </w:rPr>
        <w:t xml:space="preserve">requested by </w:t>
      </w:r>
      <w:r w:rsidR="00AE6776">
        <w:rPr>
          <w:rFonts w:ascii="Times New Roman" w:hAnsi="Times New Roman" w:cs="Times New Roman"/>
          <w:sz w:val="24"/>
          <w:szCs w:val="24"/>
        </w:rPr>
        <w:t xml:space="preserve">the </w:t>
      </w:r>
      <w:r w:rsidR="00B12076">
        <w:rPr>
          <w:rFonts w:ascii="Times New Roman" w:hAnsi="Times New Roman" w:cs="Times New Roman"/>
          <w:sz w:val="24"/>
          <w:szCs w:val="24"/>
        </w:rPr>
        <w:t>subnational users</w:t>
      </w:r>
      <w:r w:rsidR="006A21BC">
        <w:rPr>
          <w:rFonts w:ascii="Times New Roman" w:hAnsi="Times New Roman" w:cs="Times New Roman"/>
          <w:sz w:val="24"/>
          <w:szCs w:val="24"/>
        </w:rPr>
        <w:t>.</w:t>
      </w:r>
    </w:p>
    <w:p w:rsidR="00EA0E25" w:rsidRDefault="00EA0E25" w:rsidP="00924D22">
      <w:pPr>
        <w:spacing w:line="360" w:lineRule="auto"/>
        <w:ind w:firstLine="720"/>
        <w:jc w:val="both"/>
        <w:rPr>
          <w:rFonts w:ascii="Times New Roman" w:hAnsi="Times New Roman" w:cs="Times New Roman"/>
          <w:sz w:val="24"/>
          <w:szCs w:val="24"/>
        </w:rPr>
      </w:pPr>
      <w:r w:rsidRPr="00EA0E25">
        <w:rPr>
          <w:rFonts w:ascii="Times New Roman" w:hAnsi="Times New Roman" w:cs="Times New Roman"/>
          <w:sz w:val="24"/>
          <w:szCs w:val="24"/>
        </w:rPr>
        <w:t xml:space="preserve">The recent expansion of the </w:t>
      </w:r>
      <w:r w:rsidR="00FB738F">
        <w:rPr>
          <w:rFonts w:ascii="Times New Roman" w:hAnsi="Times New Roman" w:cs="Times New Roman"/>
          <w:sz w:val="24"/>
          <w:szCs w:val="24"/>
        </w:rPr>
        <w:t xml:space="preserve">TPC-OHCIS </w:t>
      </w:r>
      <w:r w:rsidRPr="00EA0E25">
        <w:rPr>
          <w:rFonts w:ascii="Times New Roman" w:hAnsi="Times New Roman" w:cs="Times New Roman"/>
          <w:sz w:val="24"/>
          <w:szCs w:val="24"/>
        </w:rPr>
        <w:t xml:space="preserve">system was </w:t>
      </w:r>
      <w:r w:rsidR="003A35D2">
        <w:rPr>
          <w:rFonts w:ascii="Times New Roman" w:hAnsi="Times New Roman" w:cs="Times New Roman"/>
          <w:sz w:val="24"/>
          <w:szCs w:val="24"/>
        </w:rPr>
        <w:t>done in the year 2020 and</w:t>
      </w:r>
      <w:r w:rsidRPr="00EA0E25">
        <w:rPr>
          <w:rFonts w:ascii="Times New Roman" w:hAnsi="Times New Roman" w:cs="Times New Roman"/>
          <w:sz w:val="24"/>
          <w:szCs w:val="24"/>
        </w:rPr>
        <w:t xml:space="preserve"> 2021 during the height of the COVID-19 pandemic. At that time, many of the healthcare workers had to work at COVID-19 </w:t>
      </w:r>
      <w:r w:rsidR="00D427DB" w:rsidRPr="00EA0E25">
        <w:rPr>
          <w:rFonts w:ascii="Times New Roman" w:hAnsi="Times New Roman" w:cs="Times New Roman"/>
          <w:sz w:val="24"/>
          <w:szCs w:val="24"/>
        </w:rPr>
        <w:t xml:space="preserve">assessment centres </w:t>
      </w:r>
      <w:r w:rsidRPr="00EA0E25">
        <w:rPr>
          <w:rFonts w:ascii="Times New Roman" w:hAnsi="Times New Roman" w:cs="Times New Roman"/>
          <w:sz w:val="24"/>
          <w:szCs w:val="24"/>
        </w:rPr>
        <w:t xml:space="preserve">and </w:t>
      </w:r>
      <w:r w:rsidR="00D427DB" w:rsidRPr="00EA0E25">
        <w:rPr>
          <w:rFonts w:ascii="Times New Roman" w:hAnsi="Times New Roman" w:cs="Times New Roman"/>
          <w:sz w:val="24"/>
          <w:szCs w:val="24"/>
        </w:rPr>
        <w:t>vaccination centres</w:t>
      </w:r>
      <w:r w:rsidR="00D427DB">
        <w:rPr>
          <w:rFonts w:ascii="Times New Roman" w:hAnsi="Times New Roman" w:cs="Times New Roman"/>
          <w:sz w:val="24"/>
          <w:szCs w:val="24"/>
        </w:rPr>
        <w:t xml:space="preserve"> that were set-up outside of the health clinic</w:t>
      </w:r>
      <w:r w:rsidRPr="00EA0E25">
        <w:rPr>
          <w:rFonts w:ascii="Times New Roman" w:hAnsi="Times New Roman" w:cs="Times New Roman"/>
          <w:sz w:val="24"/>
          <w:szCs w:val="24"/>
        </w:rPr>
        <w:t>.</w:t>
      </w:r>
      <w:r w:rsidR="00D427DB">
        <w:rPr>
          <w:rFonts w:ascii="Times New Roman" w:hAnsi="Times New Roman" w:cs="Times New Roman"/>
          <w:sz w:val="24"/>
          <w:szCs w:val="24"/>
        </w:rPr>
        <w:t xml:space="preserve"> This high commitment rotation work outside the health clinic setting made </w:t>
      </w:r>
      <w:r w:rsidR="00071B0A">
        <w:rPr>
          <w:rFonts w:ascii="Times New Roman" w:hAnsi="Times New Roman" w:cs="Times New Roman"/>
          <w:sz w:val="24"/>
          <w:szCs w:val="24"/>
        </w:rPr>
        <w:t xml:space="preserve">much of </w:t>
      </w:r>
      <w:r w:rsidR="00D427DB">
        <w:rPr>
          <w:rFonts w:ascii="Times New Roman" w:hAnsi="Times New Roman" w:cs="Times New Roman"/>
          <w:sz w:val="24"/>
          <w:szCs w:val="24"/>
        </w:rPr>
        <w:t xml:space="preserve">the healthcare worker miss the designated dates set for </w:t>
      </w:r>
      <w:r w:rsidR="0094011F">
        <w:rPr>
          <w:rFonts w:ascii="Times New Roman" w:hAnsi="Times New Roman" w:cs="Times New Roman"/>
          <w:sz w:val="24"/>
          <w:szCs w:val="24"/>
        </w:rPr>
        <w:t>the TPC-OHCIS user training. W</w:t>
      </w:r>
      <w:r w:rsidR="003A35D2">
        <w:rPr>
          <w:rFonts w:ascii="Times New Roman" w:hAnsi="Times New Roman" w:cs="Times New Roman"/>
          <w:sz w:val="24"/>
          <w:szCs w:val="24"/>
        </w:rPr>
        <w:t xml:space="preserve">hen </w:t>
      </w:r>
      <w:r w:rsidR="00D427DB">
        <w:rPr>
          <w:rFonts w:ascii="Times New Roman" w:hAnsi="Times New Roman" w:cs="Times New Roman"/>
          <w:sz w:val="24"/>
          <w:szCs w:val="24"/>
        </w:rPr>
        <w:t>COVID-19 has rea</w:t>
      </w:r>
      <w:r w:rsidR="003A35D2">
        <w:rPr>
          <w:rFonts w:ascii="Times New Roman" w:hAnsi="Times New Roman" w:cs="Times New Roman"/>
          <w:sz w:val="24"/>
          <w:szCs w:val="24"/>
        </w:rPr>
        <w:t>ched</w:t>
      </w:r>
      <w:r w:rsidR="00D427DB">
        <w:rPr>
          <w:rFonts w:ascii="Times New Roman" w:hAnsi="Times New Roman" w:cs="Times New Roman"/>
          <w:sz w:val="24"/>
          <w:szCs w:val="24"/>
        </w:rPr>
        <w:t xml:space="preserve"> </w:t>
      </w:r>
      <w:r w:rsidR="00FB738F">
        <w:rPr>
          <w:rFonts w:ascii="Times New Roman" w:hAnsi="Times New Roman" w:cs="Times New Roman"/>
          <w:sz w:val="24"/>
          <w:szCs w:val="24"/>
        </w:rPr>
        <w:t xml:space="preserve">its </w:t>
      </w:r>
      <w:r w:rsidR="00D427DB">
        <w:rPr>
          <w:rFonts w:ascii="Times New Roman" w:hAnsi="Times New Roman" w:cs="Times New Roman"/>
          <w:sz w:val="24"/>
          <w:szCs w:val="24"/>
        </w:rPr>
        <w:t>endemic phase, the number of patient</w:t>
      </w:r>
      <w:r w:rsidR="0094011F">
        <w:rPr>
          <w:rFonts w:ascii="Times New Roman" w:hAnsi="Times New Roman" w:cs="Times New Roman"/>
          <w:sz w:val="24"/>
          <w:szCs w:val="24"/>
        </w:rPr>
        <w:t>s</w:t>
      </w:r>
      <w:r w:rsidR="00D427DB">
        <w:rPr>
          <w:rFonts w:ascii="Times New Roman" w:hAnsi="Times New Roman" w:cs="Times New Roman"/>
          <w:sz w:val="24"/>
          <w:szCs w:val="24"/>
        </w:rPr>
        <w:t xml:space="preserve"> has increased back to pre-pandemic levels</w:t>
      </w:r>
      <w:r w:rsidR="00FB738F">
        <w:rPr>
          <w:rFonts w:ascii="Times New Roman" w:hAnsi="Times New Roman" w:cs="Times New Roman"/>
          <w:sz w:val="24"/>
          <w:szCs w:val="24"/>
        </w:rPr>
        <w:t>. This</w:t>
      </w:r>
      <w:r w:rsidR="00071B0A">
        <w:rPr>
          <w:rFonts w:ascii="Times New Roman" w:hAnsi="Times New Roman" w:cs="Times New Roman"/>
          <w:sz w:val="24"/>
          <w:szCs w:val="24"/>
        </w:rPr>
        <w:t>,</w:t>
      </w:r>
      <w:r w:rsidR="00FB738F">
        <w:rPr>
          <w:rFonts w:ascii="Times New Roman" w:hAnsi="Times New Roman" w:cs="Times New Roman"/>
          <w:sz w:val="24"/>
          <w:szCs w:val="24"/>
        </w:rPr>
        <w:t xml:space="preserve"> </w:t>
      </w:r>
      <w:r w:rsidR="00071B0A">
        <w:rPr>
          <w:rFonts w:ascii="Times New Roman" w:hAnsi="Times New Roman" w:cs="Times New Roman"/>
          <w:sz w:val="24"/>
          <w:szCs w:val="24"/>
        </w:rPr>
        <w:t xml:space="preserve">on the other hand, </w:t>
      </w:r>
      <w:r w:rsidR="00D427DB">
        <w:rPr>
          <w:rFonts w:ascii="Times New Roman" w:hAnsi="Times New Roman" w:cs="Times New Roman"/>
          <w:sz w:val="24"/>
          <w:szCs w:val="24"/>
        </w:rPr>
        <w:t xml:space="preserve">has made the government health clinic administrators unable to release many of their workers for </w:t>
      </w:r>
      <w:r w:rsidR="00071B0A">
        <w:rPr>
          <w:rFonts w:ascii="Times New Roman" w:hAnsi="Times New Roman" w:cs="Times New Roman"/>
          <w:sz w:val="24"/>
          <w:szCs w:val="24"/>
        </w:rPr>
        <w:t xml:space="preserve">the </w:t>
      </w:r>
      <w:r w:rsidR="00FB738F">
        <w:rPr>
          <w:rFonts w:ascii="Times New Roman" w:hAnsi="Times New Roman" w:cs="Times New Roman"/>
          <w:sz w:val="24"/>
          <w:szCs w:val="24"/>
        </w:rPr>
        <w:t xml:space="preserve">user </w:t>
      </w:r>
      <w:r w:rsidR="00D427DB">
        <w:rPr>
          <w:rFonts w:ascii="Times New Roman" w:hAnsi="Times New Roman" w:cs="Times New Roman"/>
          <w:sz w:val="24"/>
          <w:szCs w:val="24"/>
        </w:rPr>
        <w:t>training as sufficient healthcare workers are needed to deliver services i</w:t>
      </w:r>
      <w:r w:rsidR="00071B0A">
        <w:rPr>
          <w:rFonts w:ascii="Times New Roman" w:hAnsi="Times New Roman" w:cs="Times New Roman"/>
          <w:sz w:val="24"/>
          <w:szCs w:val="24"/>
        </w:rPr>
        <w:t>n their</w:t>
      </w:r>
      <w:r w:rsidR="00D427DB">
        <w:rPr>
          <w:rFonts w:ascii="Times New Roman" w:hAnsi="Times New Roman" w:cs="Times New Roman"/>
          <w:sz w:val="24"/>
          <w:szCs w:val="24"/>
        </w:rPr>
        <w:t xml:space="preserve"> busy clinics.</w:t>
      </w:r>
      <w:r w:rsidR="002D1D69">
        <w:rPr>
          <w:rFonts w:ascii="Times New Roman" w:hAnsi="Times New Roman" w:cs="Times New Roman"/>
          <w:sz w:val="24"/>
          <w:szCs w:val="24"/>
        </w:rPr>
        <w:t xml:space="preserve"> These reasons cause the poor coverage of TPC-OHCIS user training.</w:t>
      </w:r>
    </w:p>
    <w:p w:rsidR="002D1D69" w:rsidRPr="00EA0E25" w:rsidRDefault="002D1D69" w:rsidP="0080077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Only </w:t>
      </w:r>
      <w:r w:rsidR="003A35D2">
        <w:rPr>
          <w:rFonts w:ascii="Times New Roman" w:hAnsi="Times New Roman" w:cs="Times New Roman"/>
          <w:sz w:val="24"/>
          <w:szCs w:val="24"/>
        </w:rPr>
        <w:t>102</w:t>
      </w:r>
      <w:r>
        <w:rPr>
          <w:rFonts w:ascii="Times New Roman" w:hAnsi="Times New Roman" w:cs="Times New Roman"/>
          <w:sz w:val="24"/>
          <w:szCs w:val="24"/>
        </w:rPr>
        <w:t xml:space="preserve"> </w:t>
      </w:r>
      <w:r w:rsidR="003A35D2">
        <w:rPr>
          <w:rFonts w:ascii="Times New Roman" w:hAnsi="Times New Roman" w:cs="Times New Roman"/>
          <w:sz w:val="24"/>
          <w:szCs w:val="24"/>
        </w:rPr>
        <w:t>out of 1069 governmen</w:t>
      </w:r>
      <w:r w:rsidR="0094011F">
        <w:rPr>
          <w:rFonts w:ascii="Times New Roman" w:hAnsi="Times New Roman" w:cs="Times New Roman"/>
          <w:sz w:val="24"/>
          <w:szCs w:val="24"/>
        </w:rPr>
        <w:t>t health clinics in Malaysia have</w:t>
      </w:r>
      <w:r w:rsidR="003A35D2">
        <w:rPr>
          <w:rFonts w:ascii="Times New Roman" w:hAnsi="Times New Roman" w:cs="Times New Roman"/>
          <w:sz w:val="24"/>
          <w:szCs w:val="24"/>
        </w:rPr>
        <w:t xml:space="preserve"> TPC-OHCIS. Workers turnover is high in primary healthcare mu</w:t>
      </w:r>
      <w:r w:rsidR="0080077C">
        <w:rPr>
          <w:rFonts w:ascii="Times New Roman" w:hAnsi="Times New Roman" w:cs="Times New Roman"/>
          <w:sz w:val="24"/>
          <w:szCs w:val="24"/>
        </w:rPr>
        <w:t>ch like many other workplaces. Healthcare w</w:t>
      </w:r>
      <w:r w:rsidR="003A35D2">
        <w:rPr>
          <w:rFonts w:ascii="Times New Roman" w:hAnsi="Times New Roman" w:cs="Times New Roman"/>
          <w:sz w:val="24"/>
          <w:szCs w:val="24"/>
        </w:rPr>
        <w:t xml:space="preserve">orkers are routinely transferred </w:t>
      </w:r>
      <w:r w:rsidR="0080077C">
        <w:rPr>
          <w:rFonts w:ascii="Times New Roman" w:hAnsi="Times New Roman" w:cs="Times New Roman"/>
          <w:sz w:val="24"/>
          <w:szCs w:val="24"/>
        </w:rPr>
        <w:t xml:space="preserve">to other facilities </w:t>
      </w:r>
      <w:r w:rsidR="003A35D2">
        <w:rPr>
          <w:rFonts w:ascii="Times New Roman" w:hAnsi="Times New Roman" w:cs="Times New Roman"/>
          <w:sz w:val="24"/>
          <w:szCs w:val="24"/>
        </w:rPr>
        <w:t>due to request</w:t>
      </w:r>
      <w:r w:rsidR="0080077C">
        <w:rPr>
          <w:rFonts w:ascii="Times New Roman" w:hAnsi="Times New Roman" w:cs="Times New Roman"/>
          <w:sz w:val="24"/>
          <w:szCs w:val="24"/>
        </w:rPr>
        <w:t>s</w:t>
      </w:r>
      <w:r w:rsidR="003A35D2">
        <w:rPr>
          <w:rFonts w:ascii="Times New Roman" w:hAnsi="Times New Roman" w:cs="Times New Roman"/>
          <w:sz w:val="24"/>
          <w:szCs w:val="24"/>
        </w:rPr>
        <w:t xml:space="preserve"> or promotion</w:t>
      </w:r>
      <w:r w:rsidR="0080077C">
        <w:rPr>
          <w:rFonts w:ascii="Times New Roman" w:hAnsi="Times New Roman" w:cs="Times New Roman"/>
          <w:sz w:val="24"/>
          <w:szCs w:val="24"/>
        </w:rPr>
        <w:t>s</w:t>
      </w:r>
      <w:r w:rsidR="003A35D2">
        <w:rPr>
          <w:rFonts w:ascii="Times New Roman" w:hAnsi="Times New Roman" w:cs="Times New Roman"/>
          <w:sz w:val="24"/>
          <w:szCs w:val="24"/>
        </w:rPr>
        <w:t xml:space="preserve"> all year round. The healthcare workers </w:t>
      </w:r>
      <w:r w:rsidR="0080077C">
        <w:rPr>
          <w:rFonts w:ascii="Times New Roman" w:hAnsi="Times New Roman" w:cs="Times New Roman"/>
          <w:sz w:val="24"/>
          <w:szCs w:val="24"/>
        </w:rPr>
        <w:t xml:space="preserve">transferred </w:t>
      </w:r>
      <w:r w:rsidR="003A35D2">
        <w:rPr>
          <w:rFonts w:ascii="Times New Roman" w:hAnsi="Times New Roman" w:cs="Times New Roman"/>
          <w:sz w:val="24"/>
          <w:szCs w:val="24"/>
        </w:rPr>
        <w:t xml:space="preserve">from </w:t>
      </w:r>
      <w:r w:rsidR="0080077C">
        <w:rPr>
          <w:rFonts w:ascii="Times New Roman" w:hAnsi="Times New Roman" w:cs="Times New Roman"/>
          <w:sz w:val="24"/>
          <w:szCs w:val="24"/>
        </w:rPr>
        <w:t>a non-TPC-OHCIS workplace</w:t>
      </w:r>
      <w:r w:rsidR="003A35D2">
        <w:rPr>
          <w:rFonts w:ascii="Times New Roman" w:hAnsi="Times New Roman" w:cs="Times New Roman"/>
          <w:sz w:val="24"/>
          <w:szCs w:val="24"/>
        </w:rPr>
        <w:t xml:space="preserve"> need to learn how to use TPC-OHCIS for them to start working as the sistem is end-to-end of the clinic. These healthcare workers need </w:t>
      </w:r>
      <w:r w:rsidR="0080077C">
        <w:rPr>
          <w:rFonts w:ascii="Times New Roman" w:hAnsi="Times New Roman" w:cs="Times New Roman"/>
          <w:sz w:val="24"/>
          <w:szCs w:val="24"/>
        </w:rPr>
        <w:t>to be trained as soon as possible on the set of function</w:t>
      </w:r>
      <w:r w:rsidR="00A0504A">
        <w:rPr>
          <w:rFonts w:ascii="Times New Roman" w:hAnsi="Times New Roman" w:cs="Times New Roman"/>
          <w:sz w:val="24"/>
          <w:szCs w:val="24"/>
        </w:rPr>
        <w:t>s they have to perform and cannot</w:t>
      </w:r>
      <w:r w:rsidR="0080077C">
        <w:rPr>
          <w:rFonts w:ascii="Times New Roman" w:hAnsi="Times New Roman" w:cs="Times New Roman"/>
          <w:sz w:val="24"/>
          <w:szCs w:val="24"/>
        </w:rPr>
        <w:t xml:space="preserve"> </w:t>
      </w:r>
      <w:r w:rsidR="00FE1E0C">
        <w:rPr>
          <w:rFonts w:ascii="Times New Roman" w:hAnsi="Times New Roman" w:cs="Times New Roman"/>
          <w:sz w:val="24"/>
          <w:szCs w:val="24"/>
        </w:rPr>
        <w:t xml:space="preserve">afford to </w:t>
      </w:r>
      <w:r w:rsidR="0080077C">
        <w:rPr>
          <w:rFonts w:ascii="Times New Roman" w:hAnsi="Times New Roman" w:cs="Times New Roman"/>
          <w:sz w:val="24"/>
          <w:szCs w:val="24"/>
        </w:rPr>
        <w:t>wait for the next user training classes. Therefore they need a need-</w:t>
      </w:r>
      <w:r w:rsidR="0094490C">
        <w:rPr>
          <w:rFonts w:ascii="Times New Roman" w:hAnsi="Times New Roman" w:cs="Times New Roman"/>
          <w:sz w:val="24"/>
          <w:szCs w:val="24"/>
        </w:rPr>
        <w:t>related and at the point of time</w:t>
      </w:r>
      <w:r w:rsidR="0080077C">
        <w:rPr>
          <w:rFonts w:ascii="Times New Roman" w:hAnsi="Times New Roman" w:cs="Times New Roman"/>
          <w:sz w:val="24"/>
          <w:szCs w:val="24"/>
        </w:rPr>
        <w:t xml:space="preserve"> training that is not available </w:t>
      </w:r>
      <w:r w:rsidR="00FE1E0C">
        <w:rPr>
          <w:rFonts w:ascii="Times New Roman" w:hAnsi="Times New Roman" w:cs="Times New Roman"/>
          <w:sz w:val="24"/>
          <w:szCs w:val="24"/>
        </w:rPr>
        <w:t>currently. For now, new healthcare workers in a TPC-OHCIS facility</w:t>
      </w:r>
      <w:r w:rsidR="0080077C">
        <w:rPr>
          <w:rFonts w:ascii="Times New Roman" w:hAnsi="Times New Roman" w:cs="Times New Roman"/>
          <w:sz w:val="24"/>
          <w:szCs w:val="24"/>
        </w:rPr>
        <w:t xml:space="preserve"> depend</w:t>
      </w:r>
      <w:r w:rsidR="00FE1E0C">
        <w:rPr>
          <w:rFonts w:ascii="Times New Roman" w:hAnsi="Times New Roman" w:cs="Times New Roman"/>
          <w:sz w:val="24"/>
          <w:szCs w:val="24"/>
        </w:rPr>
        <w:t>s</w:t>
      </w:r>
      <w:r w:rsidR="0080077C">
        <w:rPr>
          <w:rFonts w:ascii="Times New Roman" w:hAnsi="Times New Roman" w:cs="Times New Roman"/>
          <w:sz w:val="24"/>
          <w:szCs w:val="24"/>
        </w:rPr>
        <w:t xml:space="preserve"> on their co-workers to show them how to use TPC-OHCIS while working. This may take a long time for the worker to become comfortable using TPC-OHCIS.</w:t>
      </w:r>
    </w:p>
    <w:p w:rsidR="00CB0412" w:rsidRPr="0092699A" w:rsidRDefault="00CB0412" w:rsidP="002037E9">
      <w:pPr>
        <w:pStyle w:val="Heading1"/>
        <w:numPr>
          <w:ilvl w:val="0"/>
          <w:numId w:val="13"/>
        </w:numPr>
        <w:ind w:left="426"/>
        <w:rPr>
          <w:rFonts w:ascii="Times New Roman" w:hAnsi="Times New Roman" w:cs="Times New Roman"/>
          <w:b/>
          <w:sz w:val="24"/>
          <w:szCs w:val="24"/>
        </w:rPr>
      </w:pPr>
      <w:bookmarkStart w:id="8" w:name="_Toc119880500"/>
      <w:r w:rsidRPr="0092699A">
        <w:rPr>
          <w:rFonts w:ascii="Times New Roman" w:hAnsi="Times New Roman" w:cs="Times New Roman"/>
          <w:b/>
          <w:color w:val="000000" w:themeColor="text1"/>
          <w:sz w:val="24"/>
          <w:szCs w:val="24"/>
        </w:rPr>
        <w:lastRenderedPageBreak/>
        <w:t>Stakeholder Analysis</w:t>
      </w:r>
      <w:bookmarkEnd w:id="8"/>
    </w:p>
    <w:p w:rsidR="00CB0412" w:rsidRDefault="00CB0412" w:rsidP="005823E1">
      <w:pPr>
        <w:spacing w:after="0"/>
        <w:rPr>
          <w:rFonts w:ascii="Times New Roman" w:hAnsi="Times New Roman" w:cs="Times New Roman"/>
          <w:sz w:val="24"/>
          <w:szCs w:val="24"/>
        </w:rPr>
      </w:pPr>
    </w:p>
    <w:p w:rsidR="006C0DB4" w:rsidRPr="000C4691" w:rsidRDefault="004559A5" w:rsidP="006C0DB4">
      <w:pPr>
        <w:spacing w:line="360" w:lineRule="auto"/>
        <w:ind w:firstLine="720"/>
        <w:jc w:val="both"/>
        <w:rPr>
          <w:rFonts w:ascii="Times New Roman" w:hAnsi="Times New Roman" w:cs="Times New Roman"/>
          <w:sz w:val="24"/>
          <w:szCs w:val="24"/>
        </w:rPr>
      </w:pPr>
      <w:r w:rsidRPr="004559A5">
        <w:rPr>
          <w:rFonts w:ascii="Times New Roman" w:hAnsi="Times New Roman" w:cs="Times New Roman"/>
          <w:sz w:val="24"/>
          <w:szCs w:val="24"/>
        </w:rPr>
        <w:t>The related Sustainable Development Goal (SDG) in this project are 1) SDG 3: Good health and well-being; 2) SDG 4: Quality education</w:t>
      </w:r>
      <w:r w:rsidR="009E20DF">
        <w:rPr>
          <w:rFonts w:ascii="Times New Roman" w:hAnsi="Times New Roman" w:cs="Times New Roman"/>
          <w:sz w:val="24"/>
          <w:szCs w:val="24"/>
        </w:rPr>
        <w:t>;</w:t>
      </w:r>
      <w:r w:rsidRPr="004559A5">
        <w:rPr>
          <w:rFonts w:ascii="Times New Roman" w:hAnsi="Times New Roman" w:cs="Times New Roman"/>
          <w:sz w:val="24"/>
          <w:szCs w:val="24"/>
        </w:rPr>
        <w:t xml:space="preserve"> and 3) SDG 9: Industry, innovation and infrastructure</w:t>
      </w:r>
      <w:r w:rsidR="007F0C0C">
        <w:rPr>
          <w:rFonts w:ascii="Times New Roman" w:hAnsi="Times New Roman" w:cs="Times New Roman"/>
          <w:sz w:val="24"/>
          <w:szCs w:val="24"/>
        </w:rPr>
        <w:t xml:space="preserve"> </w:t>
      </w:r>
      <w:r w:rsidR="009E20DF">
        <w:rPr>
          <w:rFonts w:ascii="Times New Roman" w:hAnsi="Times New Roman" w:cs="Times New Roman"/>
          <w:sz w:val="24"/>
          <w:szCs w:val="24"/>
        </w:rPr>
        <w:t>which</w:t>
      </w:r>
      <w:r w:rsidR="00AE6776">
        <w:rPr>
          <w:rFonts w:ascii="Times New Roman" w:hAnsi="Times New Roman" w:cs="Times New Roman"/>
          <w:sz w:val="24"/>
          <w:szCs w:val="24"/>
        </w:rPr>
        <w:t xml:space="preserve"> would involve</w:t>
      </w:r>
      <w:r w:rsidR="007F0C0C">
        <w:rPr>
          <w:rFonts w:ascii="Times New Roman" w:hAnsi="Times New Roman" w:cs="Times New Roman"/>
          <w:sz w:val="24"/>
          <w:szCs w:val="24"/>
        </w:rPr>
        <w:t xml:space="preserve"> multiple stakeholders</w:t>
      </w:r>
      <w:r w:rsidR="00AE6776">
        <w:rPr>
          <w:rFonts w:ascii="Times New Roman" w:hAnsi="Times New Roman" w:cs="Times New Roman"/>
          <w:sz w:val="24"/>
          <w:szCs w:val="24"/>
        </w:rPr>
        <w:t xml:space="preserve">. </w:t>
      </w:r>
      <w:r w:rsidR="006C0DB4">
        <w:rPr>
          <w:rFonts w:ascii="Times New Roman" w:hAnsi="Times New Roman" w:cs="Times New Roman"/>
          <w:sz w:val="24"/>
          <w:szCs w:val="24"/>
        </w:rPr>
        <w:t>As the users of TPC-OHCIS are still within MOH Malaysia, the stakeholders of this project is within this ministry. All stakeholders will be made involved officially in this project.</w:t>
      </w:r>
    </w:p>
    <w:p w:rsidR="004559A5" w:rsidRPr="00CB0412" w:rsidRDefault="00267B2F" w:rsidP="004559A5">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4559A5">
        <w:rPr>
          <w:rFonts w:ascii="Times New Roman" w:hAnsi="Times New Roman" w:cs="Times New Roman"/>
          <w:sz w:val="24"/>
          <w:szCs w:val="24"/>
        </w:rPr>
        <w:t xml:space="preserve"> of stakeholders for this project are as below: </w:t>
      </w:r>
    </w:p>
    <w:p w:rsidR="0045140D" w:rsidRPr="00670033" w:rsidRDefault="0094709C" w:rsidP="0045140D">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TPC Sector</w:t>
      </w:r>
      <w:r w:rsidR="0045140D" w:rsidRPr="00670033">
        <w:rPr>
          <w:rFonts w:ascii="Times New Roman" w:hAnsi="Times New Roman" w:cs="Times New Roman"/>
          <w:sz w:val="24"/>
          <w:szCs w:val="24"/>
        </w:rPr>
        <w:t>, Family Health Development Division</w:t>
      </w:r>
      <w:r w:rsidR="0080077C">
        <w:rPr>
          <w:rFonts w:ascii="Times New Roman" w:hAnsi="Times New Roman" w:cs="Times New Roman"/>
          <w:sz w:val="24"/>
          <w:szCs w:val="24"/>
        </w:rPr>
        <w:t>, MOH Malaysia</w:t>
      </w:r>
    </w:p>
    <w:p w:rsidR="0045140D" w:rsidRPr="00670033" w:rsidRDefault="0045140D" w:rsidP="0045140D">
      <w:pPr>
        <w:pStyle w:val="ListParagraph"/>
        <w:numPr>
          <w:ilvl w:val="0"/>
          <w:numId w:val="11"/>
        </w:numPr>
        <w:spacing w:line="360" w:lineRule="auto"/>
        <w:rPr>
          <w:rFonts w:ascii="Times New Roman" w:hAnsi="Times New Roman" w:cs="Times New Roman"/>
          <w:sz w:val="24"/>
          <w:szCs w:val="24"/>
        </w:rPr>
      </w:pPr>
      <w:r w:rsidRPr="00670033">
        <w:rPr>
          <w:rFonts w:ascii="Times New Roman" w:hAnsi="Times New Roman" w:cs="Times New Roman"/>
          <w:sz w:val="24"/>
          <w:szCs w:val="24"/>
        </w:rPr>
        <w:t>Health Literacy Unit, Family Health Development Division</w:t>
      </w:r>
      <w:r w:rsidR="0080077C">
        <w:rPr>
          <w:rFonts w:ascii="Times New Roman" w:hAnsi="Times New Roman" w:cs="Times New Roman"/>
          <w:sz w:val="24"/>
          <w:szCs w:val="24"/>
        </w:rPr>
        <w:t>, MOH Malaysia</w:t>
      </w:r>
    </w:p>
    <w:p w:rsidR="0045140D" w:rsidRPr="00670033" w:rsidRDefault="0045140D" w:rsidP="0045140D">
      <w:pPr>
        <w:pStyle w:val="ListParagraph"/>
        <w:numPr>
          <w:ilvl w:val="0"/>
          <w:numId w:val="11"/>
        </w:numPr>
        <w:spacing w:line="360" w:lineRule="auto"/>
        <w:rPr>
          <w:rFonts w:ascii="Times New Roman" w:hAnsi="Times New Roman" w:cs="Times New Roman"/>
          <w:sz w:val="24"/>
          <w:szCs w:val="24"/>
        </w:rPr>
      </w:pPr>
      <w:r w:rsidRPr="00670033">
        <w:rPr>
          <w:rFonts w:ascii="Times New Roman" w:hAnsi="Times New Roman" w:cs="Times New Roman"/>
          <w:sz w:val="24"/>
          <w:szCs w:val="24"/>
        </w:rPr>
        <w:t>Health Promotion Division</w:t>
      </w:r>
      <w:r w:rsidR="0080077C">
        <w:rPr>
          <w:rFonts w:ascii="Times New Roman" w:hAnsi="Times New Roman" w:cs="Times New Roman"/>
          <w:sz w:val="24"/>
          <w:szCs w:val="24"/>
        </w:rPr>
        <w:t>,</w:t>
      </w:r>
      <w:r w:rsidR="0080077C" w:rsidRPr="0080077C">
        <w:rPr>
          <w:rFonts w:ascii="Times New Roman" w:hAnsi="Times New Roman" w:cs="Times New Roman"/>
          <w:sz w:val="24"/>
          <w:szCs w:val="24"/>
        </w:rPr>
        <w:t xml:space="preserve"> </w:t>
      </w:r>
      <w:r w:rsidR="0080077C">
        <w:rPr>
          <w:rFonts w:ascii="Times New Roman" w:hAnsi="Times New Roman" w:cs="Times New Roman"/>
          <w:sz w:val="24"/>
          <w:szCs w:val="24"/>
        </w:rPr>
        <w:t>MOH Malaysia</w:t>
      </w:r>
    </w:p>
    <w:p w:rsidR="0045140D" w:rsidRPr="00670033" w:rsidRDefault="0045140D" w:rsidP="0045140D">
      <w:pPr>
        <w:pStyle w:val="ListParagraph"/>
        <w:numPr>
          <w:ilvl w:val="0"/>
          <w:numId w:val="11"/>
        </w:numPr>
        <w:spacing w:line="360" w:lineRule="auto"/>
        <w:rPr>
          <w:rFonts w:ascii="Times New Roman" w:hAnsi="Times New Roman" w:cs="Times New Roman"/>
          <w:sz w:val="24"/>
          <w:szCs w:val="24"/>
        </w:rPr>
      </w:pPr>
      <w:r w:rsidRPr="00670033">
        <w:rPr>
          <w:rFonts w:ascii="Times New Roman" w:hAnsi="Times New Roman" w:cs="Times New Roman"/>
          <w:sz w:val="24"/>
          <w:szCs w:val="24"/>
        </w:rPr>
        <w:t>Information Management Division</w:t>
      </w:r>
      <w:r w:rsidR="0080077C">
        <w:rPr>
          <w:rFonts w:ascii="Times New Roman" w:hAnsi="Times New Roman" w:cs="Times New Roman"/>
          <w:sz w:val="24"/>
          <w:szCs w:val="24"/>
        </w:rPr>
        <w:t>,</w:t>
      </w:r>
      <w:r w:rsidR="0080077C" w:rsidRPr="0080077C">
        <w:rPr>
          <w:rFonts w:ascii="Times New Roman" w:hAnsi="Times New Roman" w:cs="Times New Roman"/>
          <w:sz w:val="24"/>
          <w:szCs w:val="24"/>
        </w:rPr>
        <w:t xml:space="preserve"> </w:t>
      </w:r>
      <w:r w:rsidR="0080077C">
        <w:rPr>
          <w:rFonts w:ascii="Times New Roman" w:hAnsi="Times New Roman" w:cs="Times New Roman"/>
          <w:sz w:val="24"/>
          <w:szCs w:val="24"/>
        </w:rPr>
        <w:t>MOH Malaysia</w:t>
      </w:r>
    </w:p>
    <w:p w:rsidR="0080077C" w:rsidRDefault="0045140D" w:rsidP="0045140D">
      <w:pPr>
        <w:pStyle w:val="ListParagraph"/>
        <w:numPr>
          <w:ilvl w:val="0"/>
          <w:numId w:val="11"/>
        </w:numPr>
        <w:spacing w:line="360" w:lineRule="auto"/>
        <w:rPr>
          <w:rFonts w:ascii="Times New Roman" w:hAnsi="Times New Roman" w:cs="Times New Roman"/>
          <w:sz w:val="24"/>
          <w:szCs w:val="24"/>
        </w:rPr>
      </w:pPr>
      <w:r w:rsidRPr="00670033">
        <w:rPr>
          <w:rFonts w:ascii="Times New Roman" w:hAnsi="Times New Roman" w:cs="Times New Roman"/>
          <w:sz w:val="24"/>
          <w:szCs w:val="24"/>
        </w:rPr>
        <w:t xml:space="preserve">TPC-OHCIS champions </w:t>
      </w:r>
    </w:p>
    <w:p w:rsidR="0045140D" w:rsidRPr="00670033" w:rsidRDefault="004230E1" w:rsidP="0045140D">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All TPC-OHCIS users</w:t>
      </w:r>
    </w:p>
    <w:p w:rsidR="00404C03" w:rsidRPr="00F40A7C" w:rsidRDefault="00B73D20" w:rsidP="00F40A7C">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The </w:t>
      </w:r>
      <w:r w:rsidR="006C0DB4" w:rsidRPr="006C0DB4">
        <w:rPr>
          <w:rFonts w:ascii="Times New Roman" w:hAnsi="Times New Roman" w:cs="Times New Roman"/>
          <w:sz w:val="24"/>
          <w:szCs w:val="24"/>
        </w:rPr>
        <w:t>TPC Sector, Family Health Dev</w:t>
      </w:r>
      <w:r w:rsidR="00114F91">
        <w:rPr>
          <w:rFonts w:ascii="Times New Roman" w:hAnsi="Times New Roman" w:cs="Times New Roman"/>
          <w:sz w:val="24"/>
          <w:szCs w:val="24"/>
        </w:rPr>
        <w:t>elopment Division of</w:t>
      </w:r>
      <w:r w:rsidR="006C0DB4">
        <w:rPr>
          <w:rFonts w:ascii="Times New Roman" w:hAnsi="Times New Roman" w:cs="Times New Roman"/>
          <w:sz w:val="24"/>
          <w:szCs w:val="24"/>
        </w:rPr>
        <w:t xml:space="preserve"> MOH Malaysia</w:t>
      </w:r>
      <w:r w:rsidR="00E34F2D">
        <w:rPr>
          <w:rFonts w:ascii="Times New Roman" w:hAnsi="Times New Roman" w:cs="Times New Roman"/>
          <w:sz w:val="24"/>
          <w:szCs w:val="24"/>
        </w:rPr>
        <w:t xml:space="preserve"> is the main stakeholder of this project</w:t>
      </w:r>
      <w:r w:rsidR="006C0DB4">
        <w:rPr>
          <w:rFonts w:ascii="Times New Roman" w:hAnsi="Times New Roman" w:cs="Times New Roman"/>
          <w:sz w:val="24"/>
          <w:szCs w:val="24"/>
        </w:rPr>
        <w:t>.</w:t>
      </w:r>
      <w:r w:rsidR="00E34F2D">
        <w:rPr>
          <w:rFonts w:ascii="Times New Roman" w:hAnsi="Times New Roman" w:cs="Times New Roman"/>
          <w:sz w:val="24"/>
          <w:szCs w:val="24"/>
        </w:rPr>
        <w:t xml:space="preserve"> Its main duty is to do the deployment, change management, management and improvement of TPC-OHCIS. </w:t>
      </w:r>
      <w:r w:rsidR="00E34F2D" w:rsidRPr="00F40A7C">
        <w:rPr>
          <w:rFonts w:ascii="Times New Roman" w:hAnsi="Times New Roman" w:cs="Times New Roman"/>
          <w:color w:val="000000" w:themeColor="text1"/>
          <w:sz w:val="24"/>
          <w:szCs w:val="24"/>
        </w:rPr>
        <w:t xml:space="preserve">It is also in charge of the </w:t>
      </w:r>
      <w:r w:rsidR="00F40A7C" w:rsidRPr="00F40A7C">
        <w:rPr>
          <w:rFonts w:ascii="Times New Roman" w:hAnsi="Times New Roman" w:cs="Times New Roman"/>
          <w:color w:val="000000" w:themeColor="text1"/>
          <w:sz w:val="24"/>
          <w:szCs w:val="24"/>
        </w:rPr>
        <w:t>informati</w:t>
      </w:r>
      <w:r w:rsidR="00F40A7C">
        <w:rPr>
          <w:rFonts w:ascii="Times New Roman" w:hAnsi="Times New Roman" w:cs="Times New Roman"/>
          <w:color w:val="000000" w:themeColor="text1"/>
          <w:sz w:val="24"/>
          <w:szCs w:val="24"/>
        </w:rPr>
        <w:t>on and communications technologies (ICT) in government health clinics that is also much related to the implementation of TPC-OHCIS and other eHealth systems. The</w:t>
      </w:r>
      <w:r w:rsidR="006C0DB4" w:rsidRPr="00F40A7C">
        <w:rPr>
          <w:rFonts w:ascii="Times New Roman" w:hAnsi="Times New Roman" w:cs="Times New Roman"/>
          <w:color w:val="FF0000"/>
          <w:sz w:val="24"/>
          <w:szCs w:val="24"/>
        </w:rPr>
        <w:t xml:space="preserve"> </w:t>
      </w:r>
      <w:r w:rsidR="006C0DB4" w:rsidRPr="00F40A7C">
        <w:rPr>
          <w:rFonts w:ascii="Times New Roman" w:hAnsi="Times New Roman" w:cs="Times New Roman"/>
          <w:color w:val="000000" w:themeColor="text1"/>
          <w:sz w:val="24"/>
          <w:szCs w:val="24"/>
        </w:rPr>
        <w:t>Health Literacy Unit</w:t>
      </w:r>
      <w:r w:rsidR="00F40A7C" w:rsidRPr="00F40A7C">
        <w:rPr>
          <w:rFonts w:ascii="Times New Roman" w:hAnsi="Times New Roman" w:cs="Times New Roman"/>
          <w:color w:val="000000" w:themeColor="text1"/>
          <w:sz w:val="24"/>
          <w:szCs w:val="24"/>
        </w:rPr>
        <w:t xml:space="preserve"> from the same </w:t>
      </w:r>
      <w:r w:rsidR="00F40A7C">
        <w:rPr>
          <w:rFonts w:ascii="Times New Roman" w:hAnsi="Times New Roman" w:cs="Times New Roman"/>
          <w:color w:val="000000" w:themeColor="text1"/>
          <w:sz w:val="24"/>
          <w:szCs w:val="24"/>
        </w:rPr>
        <w:t>division</w:t>
      </w:r>
      <w:r w:rsidR="00F40A7C" w:rsidRPr="00F40A7C">
        <w:rPr>
          <w:rFonts w:ascii="Times New Roman" w:hAnsi="Times New Roman" w:cs="Times New Roman"/>
          <w:color w:val="000000" w:themeColor="text1"/>
          <w:sz w:val="24"/>
          <w:szCs w:val="24"/>
        </w:rPr>
        <w:t xml:space="preserve"> will be roped in as experts in educating user</w:t>
      </w:r>
      <w:r w:rsidR="00F40A7C">
        <w:rPr>
          <w:rFonts w:ascii="Times New Roman" w:hAnsi="Times New Roman" w:cs="Times New Roman"/>
          <w:color w:val="000000" w:themeColor="text1"/>
          <w:sz w:val="24"/>
          <w:szCs w:val="24"/>
        </w:rPr>
        <w:t>s</w:t>
      </w:r>
      <w:r w:rsidR="00F40A7C" w:rsidRPr="00F40A7C">
        <w:rPr>
          <w:rFonts w:ascii="Times New Roman" w:hAnsi="Times New Roman" w:cs="Times New Roman"/>
          <w:color w:val="000000" w:themeColor="text1"/>
          <w:sz w:val="24"/>
          <w:szCs w:val="24"/>
        </w:rPr>
        <w:t xml:space="preserve"> effectively.</w:t>
      </w:r>
      <w:r w:rsidR="006C0DB4" w:rsidRPr="00F40A7C">
        <w:rPr>
          <w:rFonts w:ascii="Times New Roman" w:hAnsi="Times New Roman" w:cs="Times New Roman"/>
          <w:color w:val="000000" w:themeColor="text1"/>
          <w:sz w:val="24"/>
          <w:szCs w:val="24"/>
        </w:rPr>
        <w:t xml:space="preserve"> </w:t>
      </w:r>
      <w:r w:rsidR="00F40A7C" w:rsidRPr="00F40A7C">
        <w:rPr>
          <w:rFonts w:ascii="Times New Roman" w:hAnsi="Times New Roman" w:cs="Times New Roman"/>
          <w:color w:val="000000" w:themeColor="text1"/>
          <w:sz w:val="24"/>
          <w:szCs w:val="24"/>
        </w:rPr>
        <w:t xml:space="preserve">The </w:t>
      </w:r>
      <w:r w:rsidR="006C0DB4" w:rsidRPr="00F40A7C">
        <w:rPr>
          <w:rFonts w:ascii="Times New Roman" w:hAnsi="Times New Roman" w:cs="Times New Roman"/>
          <w:color w:val="000000" w:themeColor="text1"/>
          <w:sz w:val="24"/>
          <w:szCs w:val="24"/>
        </w:rPr>
        <w:t>Health Promotion Division, MOH Malaysia</w:t>
      </w:r>
      <w:r w:rsidR="00F40A7C">
        <w:rPr>
          <w:rFonts w:ascii="Times New Roman" w:hAnsi="Times New Roman" w:cs="Times New Roman"/>
          <w:color w:val="000000" w:themeColor="text1"/>
          <w:sz w:val="24"/>
          <w:szCs w:val="24"/>
        </w:rPr>
        <w:t xml:space="preserve"> has expertise and equipment in developing effective and attractive education materials.</w:t>
      </w:r>
    </w:p>
    <w:p w:rsidR="006C0DB4" w:rsidRPr="00FF6D19" w:rsidRDefault="00FF6D19" w:rsidP="00FF6D19">
      <w:pPr>
        <w:spacing w:line="360" w:lineRule="auto"/>
        <w:ind w:firstLine="709"/>
        <w:jc w:val="both"/>
        <w:rPr>
          <w:rFonts w:ascii="Times New Roman" w:hAnsi="Times New Roman" w:cs="Times New Roman"/>
          <w:color w:val="000000" w:themeColor="text1"/>
          <w:sz w:val="24"/>
          <w:szCs w:val="24"/>
        </w:rPr>
      </w:pPr>
      <w:r w:rsidRPr="00FF6D19">
        <w:rPr>
          <w:rFonts w:ascii="Times New Roman" w:hAnsi="Times New Roman" w:cs="Times New Roman"/>
          <w:color w:val="000000" w:themeColor="text1"/>
          <w:sz w:val="24"/>
          <w:szCs w:val="24"/>
        </w:rPr>
        <w:t xml:space="preserve">The </w:t>
      </w:r>
      <w:r w:rsidR="006C0DB4" w:rsidRPr="00FF6D19">
        <w:rPr>
          <w:rFonts w:ascii="Times New Roman" w:hAnsi="Times New Roman" w:cs="Times New Roman"/>
          <w:color w:val="000000" w:themeColor="text1"/>
          <w:sz w:val="24"/>
          <w:szCs w:val="24"/>
        </w:rPr>
        <w:t>Information Management Division, MOH Malaysia</w:t>
      </w:r>
      <w:r w:rsidRPr="00FF6D19">
        <w:rPr>
          <w:rFonts w:ascii="Times New Roman" w:hAnsi="Times New Roman" w:cs="Times New Roman"/>
          <w:color w:val="000000" w:themeColor="text1"/>
          <w:sz w:val="24"/>
          <w:szCs w:val="24"/>
        </w:rPr>
        <w:t xml:space="preserve"> is in charge of developing and managing websites in the ministry</w:t>
      </w:r>
      <w:r>
        <w:rPr>
          <w:rFonts w:ascii="Times New Roman" w:hAnsi="Times New Roman" w:cs="Times New Roman"/>
          <w:color w:val="000000" w:themeColor="text1"/>
          <w:sz w:val="24"/>
          <w:szCs w:val="24"/>
        </w:rPr>
        <w:t>. Input from TPC-OHCIS champions and</w:t>
      </w:r>
      <w:r w:rsidR="006C0DB4" w:rsidRPr="00FF6D19">
        <w:rPr>
          <w:rFonts w:ascii="Times New Roman" w:hAnsi="Times New Roman" w:cs="Times New Roman"/>
          <w:color w:val="000000" w:themeColor="text1"/>
          <w:sz w:val="24"/>
          <w:szCs w:val="24"/>
        </w:rPr>
        <w:t xml:space="preserve"> TPC-OHCIS users</w:t>
      </w:r>
      <w:r>
        <w:rPr>
          <w:rFonts w:ascii="Times New Roman" w:hAnsi="Times New Roman" w:cs="Times New Roman"/>
          <w:color w:val="000000" w:themeColor="text1"/>
          <w:sz w:val="24"/>
          <w:szCs w:val="24"/>
        </w:rPr>
        <w:t xml:space="preserve"> are very important to develop education materials that fit most users’ literacy level and understanding.</w:t>
      </w:r>
    </w:p>
    <w:p w:rsidR="006C0DB4" w:rsidRDefault="006C0DB4" w:rsidP="006C0DB4">
      <w:pPr>
        <w:spacing w:line="360" w:lineRule="auto"/>
        <w:ind w:firstLine="720"/>
        <w:rPr>
          <w:rFonts w:ascii="Times New Roman" w:hAnsi="Times New Roman" w:cs="Times New Roman"/>
          <w:sz w:val="24"/>
          <w:szCs w:val="24"/>
        </w:rPr>
      </w:pPr>
    </w:p>
    <w:p w:rsidR="00404C03" w:rsidRDefault="00404C03" w:rsidP="00CB0412">
      <w:pPr>
        <w:rPr>
          <w:rFonts w:ascii="Times New Roman" w:hAnsi="Times New Roman" w:cs="Times New Roman"/>
          <w:sz w:val="24"/>
          <w:szCs w:val="24"/>
        </w:rPr>
      </w:pPr>
      <w:r>
        <w:rPr>
          <w:rFonts w:ascii="Times New Roman" w:hAnsi="Times New Roman" w:cs="Times New Roman"/>
          <w:sz w:val="24"/>
          <w:szCs w:val="24"/>
        </w:rPr>
        <w:br w:type="page"/>
      </w:r>
    </w:p>
    <w:p w:rsidR="00944B38" w:rsidRPr="004C5A10" w:rsidRDefault="00CE6821" w:rsidP="002037E9">
      <w:pPr>
        <w:pStyle w:val="Heading1"/>
        <w:numPr>
          <w:ilvl w:val="0"/>
          <w:numId w:val="13"/>
        </w:numPr>
        <w:ind w:left="426"/>
        <w:rPr>
          <w:rFonts w:ascii="Times New Roman" w:hAnsi="Times New Roman" w:cs="Times New Roman"/>
          <w:b/>
          <w:color w:val="000000" w:themeColor="text1"/>
          <w:sz w:val="24"/>
          <w:szCs w:val="24"/>
        </w:rPr>
      </w:pPr>
      <w:bookmarkStart w:id="9" w:name="_Toc119880501"/>
      <w:r>
        <w:rPr>
          <w:rFonts w:ascii="Times New Roman" w:hAnsi="Times New Roman" w:cs="Times New Roman"/>
          <w:b/>
          <w:color w:val="000000" w:themeColor="text1"/>
          <w:sz w:val="24"/>
          <w:szCs w:val="24"/>
        </w:rPr>
        <w:lastRenderedPageBreak/>
        <w:t>Expected Outcomes</w:t>
      </w:r>
      <w:bookmarkEnd w:id="9"/>
    </w:p>
    <w:p w:rsidR="00E340BC" w:rsidRDefault="00E340BC" w:rsidP="004E3577">
      <w:pPr>
        <w:spacing w:after="0" w:line="360" w:lineRule="auto"/>
        <w:rPr>
          <w:rFonts w:ascii="Times New Roman" w:hAnsi="Times New Roman" w:cs="Times New Roman"/>
          <w:sz w:val="24"/>
          <w:szCs w:val="24"/>
        </w:rPr>
      </w:pPr>
    </w:p>
    <w:p w:rsidR="00AE7B32" w:rsidRDefault="00001CC2" w:rsidP="00D9040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Setting up </w:t>
      </w:r>
      <w:r w:rsidR="00382DE8">
        <w:rPr>
          <w:rFonts w:ascii="Times New Roman" w:hAnsi="Times New Roman" w:cs="Times New Roman"/>
          <w:sz w:val="24"/>
          <w:szCs w:val="24"/>
        </w:rPr>
        <w:t>TPC-OHCIS</w:t>
      </w:r>
      <w:r>
        <w:rPr>
          <w:rFonts w:ascii="Times New Roman" w:hAnsi="Times New Roman" w:cs="Times New Roman"/>
          <w:sz w:val="24"/>
          <w:szCs w:val="24"/>
        </w:rPr>
        <w:t xml:space="preserve"> in health clinic</w:t>
      </w:r>
      <w:r w:rsidR="00D9040D">
        <w:rPr>
          <w:rFonts w:ascii="Times New Roman" w:hAnsi="Times New Roman" w:cs="Times New Roman"/>
          <w:sz w:val="24"/>
          <w:szCs w:val="24"/>
        </w:rPr>
        <w:t>s is</w:t>
      </w:r>
      <w:r>
        <w:rPr>
          <w:rFonts w:ascii="Times New Roman" w:hAnsi="Times New Roman" w:cs="Times New Roman"/>
          <w:sz w:val="24"/>
          <w:szCs w:val="24"/>
        </w:rPr>
        <w:t xml:space="preserve"> expensive</w:t>
      </w:r>
      <w:r w:rsidR="00063961">
        <w:rPr>
          <w:rFonts w:ascii="Times New Roman" w:hAnsi="Times New Roman" w:cs="Times New Roman"/>
          <w:sz w:val="24"/>
          <w:szCs w:val="24"/>
        </w:rPr>
        <w:t>. T</w:t>
      </w:r>
      <w:r w:rsidR="00DA10CD">
        <w:rPr>
          <w:rFonts w:ascii="Times New Roman" w:hAnsi="Times New Roman" w:cs="Times New Roman"/>
          <w:sz w:val="24"/>
          <w:szCs w:val="24"/>
        </w:rPr>
        <w:t>he optimal use of TPC-OHCIS is needed</w:t>
      </w:r>
      <w:r w:rsidR="00382DE8">
        <w:rPr>
          <w:rFonts w:ascii="Times New Roman" w:hAnsi="Times New Roman" w:cs="Times New Roman"/>
          <w:sz w:val="24"/>
          <w:szCs w:val="24"/>
        </w:rPr>
        <w:t xml:space="preserve"> to gain its many benefits. </w:t>
      </w:r>
      <w:r w:rsidR="00DD0891">
        <w:rPr>
          <w:rFonts w:ascii="Times New Roman" w:hAnsi="Times New Roman" w:cs="Times New Roman"/>
          <w:sz w:val="24"/>
          <w:szCs w:val="24"/>
        </w:rPr>
        <w:t xml:space="preserve">The main benefit </w:t>
      </w:r>
      <w:r w:rsidR="00CE6821">
        <w:rPr>
          <w:rFonts w:ascii="Times New Roman" w:hAnsi="Times New Roman" w:cs="Times New Roman"/>
          <w:sz w:val="24"/>
          <w:szCs w:val="24"/>
        </w:rPr>
        <w:t>of this project is</w:t>
      </w:r>
      <w:r w:rsidR="00DA10CD">
        <w:rPr>
          <w:rFonts w:ascii="Times New Roman" w:hAnsi="Times New Roman" w:cs="Times New Roman"/>
          <w:sz w:val="24"/>
          <w:szCs w:val="24"/>
        </w:rPr>
        <w:t xml:space="preserve"> the increase</w:t>
      </w:r>
      <w:r w:rsidR="00DD0891">
        <w:rPr>
          <w:rFonts w:ascii="Times New Roman" w:hAnsi="Times New Roman" w:cs="Times New Roman"/>
          <w:sz w:val="24"/>
          <w:szCs w:val="24"/>
        </w:rPr>
        <w:t xml:space="preserve"> </w:t>
      </w:r>
      <w:r w:rsidR="00382DE8">
        <w:rPr>
          <w:rFonts w:ascii="Times New Roman" w:hAnsi="Times New Roman" w:cs="Times New Roman"/>
          <w:sz w:val="24"/>
          <w:szCs w:val="24"/>
        </w:rPr>
        <w:t>and optimal</w:t>
      </w:r>
      <w:r w:rsidR="00DD0891">
        <w:rPr>
          <w:rFonts w:ascii="Times New Roman" w:hAnsi="Times New Roman" w:cs="Times New Roman"/>
          <w:sz w:val="24"/>
          <w:szCs w:val="24"/>
        </w:rPr>
        <w:t xml:space="preserve"> usage of TPC-O</w:t>
      </w:r>
      <w:r w:rsidR="00CE6821">
        <w:rPr>
          <w:rFonts w:ascii="Times New Roman" w:hAnsi="Times New Roman" w:cs="Times New Roman"/>
          <w:sz w:val="24"/>
          <w:szCs w:val="24"/>
        </w:rPr>
        <w:t>HCIS. T</w:t>
      </w:r>
      <w:r w:rsidR="00DD0891">
        <w:rPr>
          <w:rFonts w:ascii="Times New Roman" w:hAnsi="Times New Roman" w:cs="Times New Roman"/>
          <w:sz w:val="24"/>
          <w:szCs w:val="24"/>
        </w:rPr>
        <w:t xml:space="preserve">his </w:t>
      </w:r>
      <w:r w:rsidR="00CE6821">
        <w:rPr>
          <w:rFonts w:ascii="Times New Roman" w:hAnsi="Times New Roman" w:cs="Times New Roman"/>
          <w:sz w:val="24"/>
          <w:szCs w:val="24"/>
        </w:rPr>
        <w:t>will in return make the</w:t>
      </w:r>
      <w:r w:rsidR="00DD0891">
        <w:rPr>
          <w:rFonts w:ascii="Times New Roman" w:hAnsi="Times New Roman" w:cs="Times New Roman"/>
          <w:sz w:val="24"/>
          <w:szCs w:val="24"/>
        </w:rPr>
        <w:t xml:space="preserve"> </w:t>
      </w:r>
      <w:r w:rsidR="00CE6821">
        <w:rPr>
          <w:rFonts w:ascii="Times New Roman" w:hAnsi="Times New Roman" w:cs="Times New Roman"/>
          <w:sz w:val="24"/>
          <w:szCs w:val="24"/>
        </w:rPr>
        <w:t xml:space="preserve">high </w:t>
      </w:r>
      <w:r w:rsidR="00DD0891">
        <w:rPr>
          <w:rFonts w:ascii="Times New Roman" w:hAnsi="Times New Roman" w:cs="Times New Roman"/>
          <w:sz w:val="24"/>
          <w:szCs w:val="24"/>
        </w:rPr>
        <w:t xml:space="preserve">investment </w:t>
      </w:r>
      <w:r w:rsidR="00CE6821">
        <w:rPr>
          <w:rFonts w:ascii="Times New Roman" w:hAnsi="Times New Roman" w:cs="Times New Roman"/>
          <w:sz w:val="24"/>
          <w:szCs w:val="24"/>
        </w:rPr>
        <w:t>made</w:t>
      </w:r>
      <w:r w:rsidR="006E2543">
        <w:rPr>
          <w:rFonts w:ascii="Times New Roman" w:hAnsi="Times New Roman" w:cs="Times New Roman"/>
          <w:sz w:val="24"/>
          <w:szCs w:val="24"/>
        </w:rPr>
        <w:t xml:space="preserve"> </w:t>
      </w:r>
      <w:r w:rsidR="00DD0891">
        <w:rPr>
          <w:rFonts w:ascii="Times New Roman" w:hAnsi="Times New Roman" w:cs="Times New Roman"/>
          <w:sz w:val="24"/>
          <w:szCs w:val="24"/>
        </w:rPr>
        <w:t>to put the system in place</w:t>
      </w:r>
      <w:r w:rsidR="00CE6821">
        <w:rPr>
          <w:rFonts w:ascii="Times New Roman" w:hAnsi="Times New Roman" w:cs="Times New Roman"/>
          <w:sz w:val="24"/>
          <w:szCs w:val="24"/>
        </w:rPr>
        <w:t xml:space="preserve"> worth it</w:t>
      </w:r>
      <w:r w:rsidR="00DD0891">
        <w:rPr>
          <w:rFonts w:ascii="Times New Roman" w:hAnsi="Times New Roman" w:cs="Times New Roman"/>
          <w:sz w:val="24"/>
          <w:szCs w:val="24"/>
        </w:rPr>
        <w:t xml:space="preserve">. </w:t>
      </w:r>
      <w:r w:rsidR="00AE7B32">
        <w:rPr>
          <w:rFonts w:ascii="Times New Roman" w:hAnsi="Times New Roman" w:cs="Times New Roman"/>
          <w:sz w:val="24"/>
          <w:szCs w:val="24"/>
        </w:rPr>
        <w:t xml:space="preserve">Proper use of TPC-OHCIS is a prerequisite for the functioning of the report generation from TPC-OHCIS. </w:t>
      </w:r>
      <w:r w:rsidR="004E3577">
        <w:rPr>
          <w:rFonts w:ascii="Times New Roman" w:hAnsi="Times New Roman" w:cs="Times New Roman"/>
          <w:sz w:val="24"/>
          <w:szCs w:val="24"/>
        </w:rPr>
        <w:t xml:space="preserve">If the users do not fulfil certain information, reports cannot be generated, as what is happening currently. Good user training can fix this. </w:t>
      </w:r>
      <w:r w:rsidR="00AE7B32">
        <w:rPr>
          <w:rFonts w:ascii="Times New Roman" w:hAnsi="Times New Roman" w:cs="Times New Roman"/>
          <w:sz w:val="24"/>
          <w:szCs w:val="24"/>
        </w:rPr>
        <w:t>Generating routine reports fro</w:t>
      </w:r>
      <w:r w:rsidR="008764CF">
        <w:rPr>
          <w:rFonts w:ascii="Times New Roman" w:hAnsi="Times New Roman" w:cs="Times New Roman"/>
          <w:sz w:val="24"/>
          <w:szCs w:val="24"/>
        </w:rPr>
        <w:t>m TPC-OHCIS reduces or eliminates</w:t>
      </w:r>
      <w:r w:rsidR="00AE7B32">
        <w:rPr>
          <w:rFonts w:ascii="Times New Roman" w:hAnsi="Times New Roman" w:cs="Times New Roman"/>
          <w:sz w:val="24"/>
          <w:szCs w:val="24"/>
        </w:rPr>
        <w:t xml:space="preserve"> double entries in the clinic to collect data to produce reports for the district health office. This will give more time for the healthcare worker to d</w:t>
      </w:r>
      <w:r w:rsidR="002B19EF">
        <w:rPr>
          <w:rFonts w:ascii="Times New Roman" w:hAnsi="Times New Roman" w:cs="Times New Roman"/>
          <w:sz w:val="24"/>
          <w:szCs w:val="24"/>
        </w:rPr>
        <w:t>eliver quality health services and</w:t>
      </w:r>
      <w:r w:rsidR="00DA1E34">
        <w:rPr>
          <w:rFonts w:ascii="Times New Roman" w:hAnsi="Times New Roman" w:cs="Times New Roman"/>
          <w:sz w:val="24"/>
          <w:szCs w:val="24"/>
        </w:rPr>
        <w:t xml:space="preserve"> overall improve the image of MOH Malaysia.</w:t>
      </w:r>
    </w:p>
    <w:p w:rsidR="00AE7B32" w:rsidRPr="00DD0891" w:rsidRDefault="00E0673E" w:rsidP="00D9040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user training website will be very useful for the TPC-OHCIS champions as there are chunks of TPC-OHCIS educational materials they can use when needed when facilitating the clinic users in a timely manner. This in-time, what-needed feature of the training modules </w:t>
      </w:r>
      <w:r w:rsidR="003123C1" w:rsidRPr="003123C1">
        <w:rPr>
          <w:rFonts w:ascii="Times New Roman" w:hAnsi="Times New Roman" w:cs="Times New Roman"/>
          <w:sz w:val="24"/>
          <w:szCs w:val="24"/>
        </w:rPr>
        <w:t xml:space="preserve">specifically tailored to healthcare worker by designation </w:t>
      </w:r>
      <w:r>
        <w:rPr>
          <w:rFonts w:ascii="Times New Roman" w:hAnsi="Times New Roman" w:cs="Times New Roman"/>
          <w:sz w:val="24"/>
          <w:szCs w:val="24"/>
        </w:rPr>
        <w:t>makes it flexible for prioritizing training the important portion of TPC-OH</w:t>
      </w:r>
      <w:r w:rsidR="00AE7B32">
        <w:rPr>
          <w:rFonts w:ascii="Times New Roman" w:hAnsi="Times New Roman" w:cs="Times New Roman"/>
          <w:sz w:val="24"/>
          <w:szCs w:val="24"/>
        </w:rPr>
        <w:t xml:space="preserve">CIS first. This makes the TPC-OHCIS champions more efficient and independent thus making this extra responsibility to their main task of a healthcare worker manageable. </w:t>
      </w:r>
      <w:r w:rsidR="00095D65">
        <w:rPr>
          <w:rFonts w:ascii="Times New Roman" w:hAnsi="Times New Roman" w:cs="Times New Roman"/>
          <w:sz w:val="24"/>
          <w:szCs w:val="24"/>
        </w:rPr>
        <w:t>T</w:t>
      </w:r>
      <w:r w:rsidR="00DC5EAD">
        <w:rPr>
          <w:rFonts w:ascii="Times New Roman" w:hAnsi="Times New Roman" w:cs="Times New Roman"/>
          <w:sz w:val="24"/>
          <w:szCs w:val="24"/>
        </w:rPr>
        <w:t>his TPC-OHCIS</w:t>
      </w:r>
      <w:r w:rsidR="00095D65">
        <w:rPr>
          <w:rFonts w:ascii="Times New Roman" w:hAnsi="Times New Roman" w:cs="Times New Roman"/>
          <w:sz w:val="24"/>
          <w:szCs w:val="24"/>
        </w:rPr>
        <w:t xml:space="preserve"> user training website will employ a unique identification</w:t>
      </w:r>
      <w:r w:rsidR="00DC5EAD">
        <w:rPr>
          <w:rFonts w:ascii="Times New Roman" w:hAnsi="Times New Roman" w:cs="Times New Roman"/>
          <w:sz w:val="24"/>
          <w:szCs w:val="24"/>
        </w:rPr>
        <w:t xml:space="preserve"> controlled by the state TPC-OHCIS champion. This safety feature will ensure that only users of this system have access to this training modules</w:t>
      </w:r>
      <w:r w:rsidR="00FE3C4B">
        <w:rPr>
          <w:rFonts w:ascii="Times New Roman" w:hAnsi="Times New Roman" w:cs="Times New Roman"/>
          <w:sz w:val="24"/>
          <w:szCs w:val="24"/>
        </w:rPr>
        <w:t>.</w:t>
      </w:r>
    </w:p>
    <w:p w:rsidR="0046570F" w:rsidRDefault="003123C1" w:rsidP="000608E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Although TPC-OHCIS is already in MOH Malaysia’s Digitalization Strategic Plan, the budget for the expansion </w:t>
      </w:r>
      <w:r w:rsidR="000608E8">
        <w:rPr>
          <w:rFonts w:ascii="Times New Roman" w:hAnsi="Times New Roman" w:cs="Times New Roman"/>
          <w:sz w:val="24"/>
          <w:szCs w:val="24"/>
        </w:rPr>
        <w:t>of TPC-OHCIS to other government health clinics is not yet secured. Many of the bu</w:t>
      </w:r>
      <w:r w:rsidR="00113341">
        <w:rPr>
          <w:rFonts w:ascii="Times New Roman" w:hAnsi="Times New Roman" w:cs="Times New Roman"/>
          <w:sz w:val="24"/>
          <w:szCs w:val="24"/>
        </w:rPr>
        <w:t>sy clinics demand that</w:t>
      </w:r>
      <w:r w:rsidR="000608E8">
        <w:rPr>
          <w:rFonts w:ascii="Times New Roman" w:hAnsi="Times New Roman" w:cs="Times New Roman"/>
          <w:sz w:val="24"/>
          <w:szCs w:val="24"/>
        </w:rPr>
        <w:t xml:space="preserve"> TPC-OHCIS </w:t>
      </w:r>
      <w:r w:rsidR="00113341">
        <w:rPr>
          <w:rFonts w:ascii="Times New Roman" w:hAnsi="Times New Roman" w:cs="Times New Roman"/>
          <w:sz w:val="24"/>
          <w:szCs w:val="24"/>
        </w:rPr>
        <w:t xml:space="preserve">be installed </w:t>
      </w:r>
      <w:r w:rsidR="000608E8">
        <w:rPr>
          <w:rFonts w:ascii="Times New Roman" w:hAnsi="Times New Roman" w:cs="Times New Roman"/>
          <w:sz w:val="24"/>
          <w:szCs w:val="24"/>
        </w:rPr>
        <w:t>in their clinic. This user training module can make the deployment and management of TPC-OHCIS easier</w:t>
      </w:r>
      <w:r w:rsidR="00CF3301">
        <w:rPr>
          <w:rFonts w:ascii="Times New Roman" w:hAnsi="Times New Roman" w:cs="Times New Roman"/>
          <w:sz w:val="24"/>
          <w:szCs w:val="24"/>
        </w:rPr>
        <w:t>,</w:t>
      </w:r>
      <w:r w:rsidR="000608E8">
        <w:rPr>
          <w:rFonts w:ascii="Times New Roman" w:hAnsi="Times New Roman" w:cs="Times New Roman"/>
          <w:sz w:val="24"/>
          <w:szCs w:val="24"/>
        </w:rPr>
        <w:t xml:space="preserve"> thus</w:t>
      </w:r>
      <w:r w:rsidR="005905A5">
        <w:rPr>
          <w:rFonts w:ascii="Times New Roman" w:hAnsi="Times New Roman" w:cs="Times New Roman"/>
          <w:sz w:val="24"/>
          <w:szCs w:val="24"/>
        </w:rPr>
        <w:t xml:space="preserve"> convincing management to invest</w:t>
      </w:r>
      <w:r w:rsidR="000608E8">
        <w:rPr>
          <w:rFonts w:ascii="Times New Roman" w:hAnsi="Times New Roman" w:cs="Times New Roman"/>
          <w:sz w:val="24"/>
          <w:szCs w:val="24"/>
        </w:rPr>
        <w:t xml:space="preserve"> in the expansion</w:t>
      </w:r>
      <w:r w:rsidR="00DA10CD">
        <w:rPr>
          <w:rFonts w:ascii="Times New Roman" w:hAnsi="Times New Roman" w:cs="Times New Roman"/>
          <w:sz w:val="24"/>
          <w:szCs w:val="24"/>
        </w:rPr>
        <w:t>, maintenance of the system and for its technology update</w:t>
      </w:r>
      <w:r w:rsidR="000608E8">
        <w:rPr>
          <w:rFonts w:ascii="Times New Roman" w:hAnsi="Times New Roman" w:cs="Times New Roman"/>
          <w:sz w:val="24"/>
          <w:szCs w:val="24"/>
        </w:rPr>
        <w:t xml:space="preserve"> of TPC-OHCIS.</w:t>
      </w:r>
      <w:r w:rsidR="00DA10CD">
        <w:rPr>
          <w:rFonts w:ascii="Times New Roman" w:hAnsi="Times New Roman" w:cs="Times New Roman"/>
          <w:sz w:val="24"/>
          <w:szCs w:val="24"/>
        </w:rPr>
        <w:t xml:space="preserve"> Good performance of TPC-OHCIS will increase user satisfaction and reduce complaints.</w:t>
      </w:r>
    </w:p>
    <w:p w:rsidR="006B0380" w:rsidRDefault="005905A5" w:rsidP="005300AD">
      <w:pPr>
        <w:spacing w:line="360" w:lineRule="auto"/>
        <w:ind w:firstLine="720"/>
        <w:jc w:val="both"/>
        <w:rPr>
          <w:rFonts w:ascii="Times New Roman" w:hAnsi="Times New Roman" w:cs="Times New Roman"/>
          <w:sz w:val="24"/>
          <w:szCs w:val="24"/>
        </w:rPr>
        <w:sectPr w:rsidR="006B0380" w:rsidSect="004570D1">
          <w:pgSz w:w="11906" w:h="16838"/>
          <w:pgMar w:top="1440" w:right="1440" w:bottom="1440" w:left="1440" w:header="708" w:footer="708" w:gutter="0"/>
          <w:pgNumType w:start="1"/>
          <w:cols w:space="708"/>
          <w:titlePg/>
          <w:docGrid w:linePitch="360"/>
        </w:sectPr>
      </w:pPr>
      <w:r>
        <w:rPr>
          <w:rFonts w:ascii="Times New Roman" w:hAnsi="Times New Roman" w:cs="Times New Roman"/>
          <w:sz w:val="24"/>
          <w:szCs w:val="24"/>
        </w:rPr>
        <w:t>A</w:t>
      </w:r>
      <w:r w:rsidR="00707E4F">
        <w:rPr>
          <w:rFonts w:ascii="Times New Roman" w:hAnsi="Times New Roman" w:cs="Times New Roman"/>
          <w:sz w:val="24"/>
          <w:szCs w:val="24"/>
        </w:rPr>
        <w:t>fter using the module for six month</w:t>
      </w:r>
      <w:r w:rsidR="005300AD">
        <w:rPr>
          <w:rFonts w:ascii="Times New Roman" w:hAnsi="Times New Roman" w:cs="Times New Roman"/>
          <w:sz w:val="24"/>
          <w:szCs w:val="24"/>
        </w:rPr>
        <w:t>s</w:t>
      </w:r>
      <w:r w:rsidR="00707E4F">
        <w:rPr>
          <w:rFonts w:ascii="Times New Roman" w:hAnsi="Times New Roman" w:cs="Times New Roman"/>
          <w:sz w:val="24"/>
          <w:szCs w:val="24"/>
        </w:rPr>
        <w:t>, an evaluation of the modules will be done followed by improvement of the system. This user training will be included in the clinic orientation programme with CME points</w:t>
      </w:r>
      <w:r w:rsidR="009F46FA">
        <w:rPr>
          <w:rFonts w:ascii="Times New Roman" w:hAnsi="Times New Roman" w:cs="Times New Roman"/>
          <w:sz w:val="24"/>
          <w:szCs w:val="24"/>
        </w:rPr>
        <w:t>.</w:t>
      </w:r>
      <w:r w:rsidR="00707E4F">
        <w:rPr>
          <w:rFonts w:ascii="Times New Roman" w:hAnsi="Times New Roman" w:cs="Times New Roman"/>
          <w:sz w:val="24"/>
          <w:szCs w:val="24"/>
        </w:rPr>
        <w:t xml:space="preserve"> A helpline will be established if more funding is received for this purpose.</w:t>
      </w:r>
    </w:p>
    <w:p w:rsidR="002114F4" w:rsidRDefault="002114F4" w:rsidP="002037E9">
      <w:pPr>
        <w:pStyle w:val="Heading1"/>
        <w:numPr>
          <w:ilvl w:val="0"/>
          <w:numId w:val="13"/>
        </w:numPr>
        <w:ind w:left="426"/>
        <w:rPr>
          <w:rFonts w:ascii="Times New Roman" w:hAnsi="Times New Roman" w:cs="Times New Roman"/>
          <w:b/>
          <w:color w:val="000000" w:themeColor="text1"/>
          <w:sz w:val="24"/>
          <w:szCs w:val="24"/>
        </w:rPr>
      </w:pPr>
      <w:bookmarkStart w:id="10" w:name="_Toc119880502"/>
      <w:r w:rsidRPr="008E6103">
        <w:rPr>
          <w:rFonts w:ascii="Times New Roman" w:hAnsi="Times New Roman" w:cs="Times New Roman"/>
          <w:b/>
          <w:color w:val="000000" w:themeColor="text1"/>
          <w:sz w:val="24"/>
          <w:szCs w:val="24"/>
        </w:rPr>
        <w:lastRenderedPageBreak/>
        <w:t>Plan for Implementation</w:t>
      </w:r>
      <w:bookmarkEnd w:id="10"/>
    </w:p>
    <w:p w:rsidR="006B0380" w:rsidRPr="006B0380" w:rsidRDefault="006B0380" w:rsidP="006B0380">
      <w:pPr>
        <w:spacing w:after="0"/>
      </w:pPr>
    </w:p>
    <w:p w:rsidR="002114F4" w:rsidRDefault="005B6ED6" w:rsidP="005163B5">
      <w:pPr>
        <w:spacing w:line="360" w:lineRule="auto"/>
        <w:rPr>
          <w:rFonts w:ascii="Times New Roman" w:hAnsi="Times New Roman" w:cs="Times New Roman"/>
          <w:sz w:val="24"/>
          <w:szCs w:val="24"/>
        </w:rPr>
      </w:pPr>
      <w:r>
        <w:rPr>
          <w:rFonts w:ascii="Times New Roman" w:hAnsi="Times New Roman" w:cs="Times New Roman"/>
          <w:sz w:val="24"/>
          <w:szCs w:val="24"/>
        </w:rPr>
        <w:tab/>
        <w:t>The plan of implementation is dem</w:t>
      </w:r>
      <w:r w:rsidR="005300AD">
        <w:rPr>
          <w:rFonts w:ascii="Times New Roman" w:hAnsi="Times New Roman" w:cs="Times New Roman"/>
          <w:sz w:val="24"/>
          <w:szCs w:val="24"/>
        </w:rPr>
        <w:t>onstrated in the</w:t>
      </w:r>
      <w:r>
        <w:rPr>
          <w:rFonts w:ascii="Times New Roman" w:hAnsi="Times New Roman" w:cs="Times New Roman"/>
          <w:sz w:val="24"/>
          <w:szCs w:val="24"/>
        </w:rPr>
        <w:t xml:space="preserve"> work plan below.</w:t>
      </w:r>
    </w:p>
    <w:tbl>
      <w:tblPr>
        <w:tblStyle w:val="TableGrid"/>
        <w:tblW w:w="0" w:type="auto"/>
        <w:tblLook w:val="04A0" w:firstRow="1" w:lastRow="0" w:firstColumn="1" w:lastColumn="0" w:noHBand="0" w:noVBand="1"/>
      </w:tblPr>
      <w:tblGrid>
        <w:gridCol w:w="4106"/>
        <w:gridCol w:w="709"/>
        <w:gridCol w:w="567"/>
        <w:gridCol w:w="567"/>
        <w:gridCol w:w="557"/>
        <w:gridCol w:w="435"/>
        <w:gridCol w:w="567"/>
        <w:gridCol w:w="567"/>
        <w:gridCol w:w="567"/>
        <w:gridCol w:w="567"/>
        <w:gridCol w:w="567"/>
        <w:gridCol w:w="567"/>
        <w:gridCol w:w="567"/>
        <w:gridCol w:w="567"/>
        <w:gridCol w:w="567"/>
        <w:gridCol w:w="709"/>
        <w:gridCol w:w="592"/>
      </w:tblGrid>
      <w:tr w:rsidR="008F4420" w:rsidTr="00561FA5">
        <w:tc>
          <w:tcPr>
            <w:tcW w:w="13345" w:type="dxa"/>
            <w:gridSpan w:val="17"/>
          </w:tcPr>
          <w:p w:rsidR="008F4420" w:rsidRPr="00503052" w:rsidRDefault="008F4420" w:rsidP="005163B5">
            <w:pPr>
              <w:spacing w:line="360" w:lineRule="auto"/>
              <w:rPr>
                <w:rFonts w:ascii="Times New Roman" w:hAnsi="Times New Roman" w:cs="Times New Roman"/>
                <w:b/>
                <w:vertAlign w:val="subscript"/>
              </w:rPr>
            </w:pPr>
            <w:r w:rsidRPr="00503052">
              <w:rPr>
                <w:rFonts w:ascii="Times New Roman" w:hAnsi="Times New Roman" w:cs="Times New Roman"/>
                <w:b/>
                <w:vertAlign w:val="subscript"/>
              </w:rPr>
              <w:t>WORK PLAN</w:t>
            </w:r>
          </w:p>
        </w:tc>
      </w:tr>
      <w:tr w:rsidR="008F4420" w:rsidTr="006B0380">
        <w:tc>
          <w:tcPr>
            <w:tcW w:w="4106" w:type="dxa"/>
          </w:tcPr>
          <w:p w:rsidR="008F4420" w:rsidRPr="00503052" w:rsidRDefault="008F4420" w:rsidP="005163B5">
            <w:pPr>
              <w:spacing w:line="360" w:lineRule="auto"/>
              <w:rPr>
                <w:rFonts w:ascii="Times New Roman" w:hAnsi="Times New Roman" w:cs="Times New Roman"/>
                <w:b/>
                <w:vertAlign w:val="subscript"/>
              </w:rPr>
            </w:pPr>
            <w:r w:rsidRPr="00503052">
              <w:rPr>
                <w:rFonts w:ascii="Times New Roman" w:hAnsi="Times New Roman" w:cs="Times New Roman"/>
                <w:b/>
                <w:vertAlign w:val="subscript"/>
              </w:rPr>
              <w:t>Activity Description</w:t>
            </w:r>
          </w:p>
        </w:tc>
        <w:tc>
          <w:tcPr>
            <w:tcW w:w="709" w:type="dxa"/>
          </w:tcPr>
          <w:p w:rsidR="008F4420" w:rsidRPr="00503052" w:rsidRDefault="008F4420" w:rsidP="005163B5">
            <w:pPr>
              <w:spacing w:line="360" w:lineRule="auto"/>
              <w:rPr>
                <w:rFonts w:ascii="Times New Roman" w:hAnsi="Times New Roman" w:cs="Times New Roman"/>
                <w:b/>
                <w:vertAlign w:val="subscript"/>
              </w:rPr>
            </w:pPr>
            <w:r w:rsidRPr="00503052">
              <w:rPr>
                <w:rFonts w:ascii="Times New Roman" w:hAnsi="Times New Roman" w:cs="Times New Roman"/>
                <w:b/>
                <w:vertAlign w:val="subscript"/>
              </w:rPr>
              <w:t>Year</w:t>
            </w:r>
          </w:p>
        </w:tc>
        <w:tc>
          <w:tcPr>
            <w:tcW w:w="567" w:type="dxa"/>
            <w:tcBorders>
              <w:bottom w:val="single" w:sz="4" w:space="0" w:color="auto"/>
            </w:tcBorders>
          </w:tcPr>
          <w:p w:rsidR="008F4420" w:rsidRPr="00503052" w:rsidRDefault="008F4420" w:rsidP="005163B5">
            <w:pPr>
              <w:spacing w:line="360" w:lineRule="auto"/>
              <w:rPr>
                <w:rFonts w:ascii="Times New Roman" w:hAnsi="Times New Roman" w:cs="Times New Roman"/>
                <w:b/>
                <w:vertAlign w:val="subscript"/>
              </w:rPr>
            </w:pPr>
            <w:r w:rsidRPr="00503052">
              <w:rPr>
                <w:rFonts w:ascii="Times New Roman" w:hAnsi="Times New Roman" w:cs="Times New Roman"/>
                <w:b/>
                <w:vertAlign w:val="subscript"/>
              </w:rPr>
              <w:t>Oct</w:t>
            </w:r>
          </w:p>
        </w:tc>
        <w:tc>
          <w:tcPr>
            <w:tcW w:w="567" w:type="dxa"/>
            <w:tcBorders>
              <w:bottom w:val="single" w:sz="4" w:space="0" w:color="auto"/>
            </w:tcBorders>
          </w:tcPr>
          <w:p w:rsidR="008F4420" w:rsidRPr="00503052" w:rsidRDefault="008F4420" w:rsidP="005163B5">
            <w:pPr>
              <w:spacing w:line="360" w:lineRule="auto"/>
              <w:rPr>
                <w:rFonts w:ascii="Times New Roman" w:hAnsi="Times New Roman" w:cs="Times New Roman"/>
                <w:b/>
                <w:vertAlign w:val="subscript"/>
              </w:rPr>
            </w:pPr>
            <w:r w:rsidRPr="00503052">
              <w:rPr>
                <w:rFonts w:ascii="Times New Roman" w:hAnsi="Times New Roman" w:cs="Times New Roman"/>
                <w:b/>
                <w:vertAlign w:val="subscript"/>
              </w:rPr>
              <w:t>Nov</w:t>
            </w:r>
          </w:p>
        </w:tc>
        <w:tc>
          <w:tcPr>
            <w:tcW w:w="557" w:type="dxa"/>
          </w:tcPr>
          <w:p w:rsidR="008F4420" w:rsidRPr="00503052" w:rsidRDefault="008F4420" w:rsidP="005163B5">
            <w:pPr>
              <w:spacing w:line="360" w:lineRule="auto"/>
              <w:rPr>
                <w:rFonts w:ascii="Times New Roman" w:hAnsi="Times New Roman" w:cs="Times New Roman"/>
                <w:b/>
                <w:vertAlign w:val="subscript"/>
              </w:rPr>
            </w:pPr>
            <w:r w:rsidRPr="00503052">
              <w:rPr>
                <w:rFonts w:ascii="Times New Roman" w:hAnsi="Times New Roman" w:cs="Times New Roman"/>
                <w:b/>
                <w:vertAlign w:val="subscript"/>
              </w:rPr>
              <w:t>Dec</w:t>
            </w:r>
          </w:p>
        </w:tc>
        <w:tc>
          <w:tcPr>
            <w:tcW w:w="435" w:type="dxa"/>
          </w:tcPr>
          <w:p w:rsidR="008F4420" w:rsidRPr="00503052" w:rsidRDefault="008F4420" w:rsidP="005163B5">
            <w:pPr>
              <w:spacing w:line="360" w:lineRule="auto"/>
              <w:rPr>
                <w:rFonts w:ascii="Times New Roman" w:hAnsi="Times New Roman" w:cs="Times New Roman"/>
                <w:b/>
                <w:vertAlign w:val="subscript"/>
              </w:rPr>
            </w:pPr>
            <w:r w:rsidRPr="00503052">
              <w:rPr>
                <w:rFonts w:ascii="Times New Roman" w:hAnsi="Times New Roman" w:cs="Times New Roman"/>
                <w:b/>
                <w:vertAlign w:val="subscript"/>
              </w:rPr>
              <w:t>Jan</w:t>
            </w:r>
          </w:p>
        </w:tc>
        <w:tc>
          <w:tcPr>
            <w:tcW w:w="567" w:type="dxa"/>
          </w:tcPr>
          <w:p w:rsidR="008F4420" w:rsidRPr="00503052" w:rsidRDefault="008F4420" w:rsidP="005163B5">
            <w:pPr>
              <w:spacing w:line="360" w:lineRule="auto"/>
              <w:rPr>
                <w:rFonts w:ascii="Times New Roman" w:hAnsi="Times New Roman" w:cs="Times New Roman"/>
                <w:b/>
                <w:vertAlign w:val="subscript"/>
              </w:rPr>
            </w:pPr>
            <w:r w:rsidRPr="00503052">
              <w:rPr>
                <w:rFonts w:ascii="Times New Roman" w:hAnsi="Times New Roman" w:cs="Times New Roman"/>
                <w:b/>
                <w:vertAlign w:val="subscript"/>
              </w:rPr>
              <w:t>Feb</w:t>
            </w:r>
          </w:p>
        </w:tc>
        <w:tc>
          <w:tcPr>
            <w:tcW w:w="567" w:type="dxa"/>
          </w:tcPr>
          <w:p w:rsidR="008F4420" w:rsidRPr="00503052" w:rsidRDefault="008F4420" w:rsidP="005163B5">
            <w:pPr>
              <w:spacing w:line="360" w:lineRule="auto"/>
              <w:rPr>
                <w:rFonts w:ascii="Times New Roman" w:hAnsi="Times New Roman" w:cs="Times New Roman"/>
                <w:b/>
                <w:vertAlign w:val="subscript"/>
              </w:rPr>
            </w:pPr>
            <w:r w:rsidRPr="00503052">
              <w:rPr>
                <w:rFonts w:ascii="Times New Roman" w:hAnsi="Times New Roman" w:cs="Times New Roman"/>
                <w:b/>
                <w:vertAlign w:val="subscript"/>
              </w:rPr>
              <w:t>Mac</w:t>
            </w:r>
          </w:p>
        </w:tc>
        <w:tc>
          <w:tcPr>
            <w:tcW w:w="567" w:type="dxa"/>
          </w:tcPr>
          <w:p w:rsidR="008F4420" w:rsidRPr="00503052" w:rsidRDefault="008F4420" w:rsidP="005163B5">
            <w:pPr>
              <w:spacing w:line="360" w:lineRule="auto"/>
              <w:rPr>
                <w:rFonts w:ascii="Times New Roman" w:hAnsi="Times New Roman" w:cs="Times New Roman"/>
                <w:b/>
                <w:vertAlign w:val="subscript"/>
              </w:rPr>
            </w:pPr>
            <w:r w:rsidRPr="00503052">
              <w:rPr>
                <w:rFonts w:ascii="Times New Roman" w:hAnsi="Times New Roman" w:cs="Times New Roman"/>
                <w:b/>
                <w:vertAlign w:val="subscript"/>
              </w:rPr>
              <w:t>Apr</w:t>
            </w:r>
          </w:p>
        </w:tc>
        <w:tc>
          <w:tcPr>
            <w:tcW w:w="567" w:type="dxa"/>
          </w:tcPr>
          <w:p w:rsidR="008F4420" w:rsidRPr="00503052" w:rsidRDefault="008F4420" w:rsidP="005163B5">
            <w:pPr>
              <w:spacing w:line="360" w:lineRule="auto"/>
              <w:rPr>
                <w:rFonts w:ascii="Times New Roman" w:hAnsi="Times New Roman" w:cs="Times New Roman"/>
                <w:b/>
                <w:vertAlign w:val="subscript"/>
              </w:rPr>
            </w:pPr>
            <w:r w:rsidRPr="00503052">
              <w:rPr>
                <w:rFonts w:ascii="Times New Roman" w:hAnsi="Times New Roman" w:cs="Times New Roman"/>
                <w:b/>
                <w:vertAlign w:val="subscript"/>
              </w:rPr>
              <w:t>May</w:t>
            </w:r>
          </w:p>
        </w:tc>
        <w:tc>
          <w:tcPr>
            <w:tcW w:w="567" w:type="dxa"/>
          </w:tcPr>
          <w:p w:rsidR="008F4420" w:rsidRPr="00503052" w:rsidRDefault="008F4420" w:rsidP="005163B5">
            <w:pPr>
              <w:spacing w:line="360" w:lineRule="auto"/>
              <w:rPr>
                <w:rFonts w:ascii="Times New Roman" w:hAnsi="Times New Roman" w:cs="Times New Roman"/>
                <w:b/>
                <w:vertAlign w:val="subscript"/>
              </w:rPr>
            </w:pPr>
            <w:r w:rsidRPr="00503052">
              <w:rPr>
                <w:rFonts w:ascii="Times New Roman" w:hAnsi="Times New Roman" w:cs="Times New Roman"/>
                <w:b/>
                <w:vertAlign w:val="subscript"/>
              </w:rPr>
              <w:t>Jun</w:t>
            </w:r>
          </w:p>
        </w:tc>
        <w:tc>
          <w:tcPr>
            <w:tcW w:w="567" w:type="dxa"/>
          </w:tcPr>
          <w:p w:rsidR="008F4420" w:rsidRPr="00503052" w:rsidRDefault="008F4420" w:rsidP="005163B5">
            <w:pPr>
              <w:spacing w:line="360" w:lineRule="auto"/>
              <w:rPr>
                <w:rFonts w:ascii="Times New Roman" w:hAnsi="Times New Roman" w:cs="Times New Roman"/>
                <w:b/>
                <w:vertAlign w:val="subscript"/>
              </w:rPr>
            </w:pPr>
            <w:r w:rsidRPr="00503052">
              <w:rPr>
                <w:rFonts w:ascii="Times New Roman" w:hAnsi="Times New Roman" w:cs="Times New Roman"/>
                <w:b/>
                <w:vertAlign w:val="subscript"/>
              </w:rPr>
              <w:t>July</w:t>
            </w:r>
          </w:p>
        </w:tc>
        <w:tc>
          <w:tcPr>
            <w:tcW w:w="567" w:type="dxa"/>
          </w:tcPr>
          <w:p w:rsidR="008F4420" w:rsidRPr="00503052" w:rsidRDefault="008F4420" w:rsidP="005163B5">
            <w:pPr>
              <w:spacing w:line="360" w:lineRule="auto"/>
              <w:rPr>
                <w:rFonts w:ascii="Times New Roman" w:hAnsi="Times New Roman" w:cs="Times New Roman"/>
                <w:b/>
                <w:vertAlign w:val="subscript"/>
              </w:rPr>
            </w:pPr>
            <w:r w:rsidRPr="00503052">
              <w:rPr>
                <w:rFonts w:ascii="Times New Roman" w:hAnsi="Times New Roman" w:cs="Times New Roman"/>
                <w:b/>
                <w:vertAlign w:val="subscript"/>
              </w:rPr>
              <w:t>Aug</w:t>
            </w:r>
          </w:p>
        </w:tc>
        <w:tc>
          <w:tcPr>
            <w:tcW w:w="567" w:type="dxa"/>
          </w:tcPr>
          <w:p w:rsidR="008F4420" w:rsidRPr="00503052" w:rsidRDefault="008F4420" w:rsidP="005163B5">
            <w:pPr>
              <w:spacing w:line="360" w:lineRule="auto"/>
              <w:rPr>
                <w:rFonts w:ascii="Times New Roman" w:hAnsi="Times New Roman" w:cs="Times New Roman"/>
                <w:b/>
                <w:vertAlign w:val="subscript"/>
              </w:rPr>
            </w:pPr>
            <w:r w:rsidRPr="00503052">
              <w:rPr>
                <w:rFonts w:ascii="Times New Roman" w:hAnsi="Times New Roman" w:cs="Times New Roman"/>
                <w:b/>
                <w:vertAlign w:val="subscript"/>
              </w:rPr>
              <w:t>Sept</w:t>
            </w:r>
          </w:p>
        </w:tc>
        <w:tc>
          <w:tcPr>
            <w:tcW w:w="567" w:type="dxa"/>
          </w:tcPr>
          <w:p w:rsidR="008F4420" w:rsidRPr="00503052" w:rsidRDefault="008F4420" w:rsidP="005163B5">
            <w:pPr>
              <w:spacing w:line="360" w:lineRule="auto"/>
              <w:rPr>
                <w:rFonts w:ascii="Times New Roman" w:hAnsi="Times New Roman" w:cs="Times New Roman"/>
                <w:b/>
                <w:vertAlign w:val="subscript"/>
              </w:rPr>
            </w:pPr>
            <w:r w:rsidRPr="00503052">
              <w:rPr>
                <w:rFonts w:ascii="Times New Roman" w:hAnsi="Times New Roman" w:cs="Times New Roman"/>
                <w:b/>
                <w:vertAlign w:val="subscript"/>
              </w:rPr>
              <w:t>Oct</w:t>
            </w:r>
          </w:p>
        </w:tc>
        <w:tc>
          <w:tcPr>
            <w:tcW w:w="709" w:type="dxa"/>
          </w:tcPr>
          <w:p w:rsidR="008F4420" w:rsidRPr="00503052" w:rsidRDefault="008F4420" w:rsidP="005163B5">
            <w:pPr>
              <w:spacing w:line="360" w:lineRule="auto"/>
              <w:rPr>
                <w:rFonts w:ascii="Times New Roman" w:hAnsi="Times New Roman" w:cs="Times New Roman"/>
                <w:b/>
                <w:vertAlign w:val="subscript"/>
              </w:rPr>
            </w:pPr>
            <w:r w:rsidRPr="00503052">
              <w:rPr>
                <w:rFonts w:ascii="Times New Roman" w:hAnsi="Times New Roman" w:cs="Times New Roman"/>
                <w:b/>
                <w:vertAlign w:val="subscript"/>
              </w:rPr>
              <w:t>Nov</w:t>
            </w:r>
          </w:p>
        </w:tc>
        <w:tc>
          <w:tcPr>
            <w:tcW w:w="592" w:type="dxa"/>
          </w:tcPr>
          <w:p w:rsidR="008F4420" w:rsidRPr="00503052" w:rsidRDefault="008F4420" w:rsidP="005163B5">
            <w:pPr>
              <w:spacing w:line="360" w:lineRule="auto"/>
              <w:rPr>
                <w:rFonts w:ascii="Times New Roman" w:hAnsi="Times New Roman" w:cs="Times New Roman"/>
                <w:b/>
                <w:vertAlign w:val="subscript"/>
              </w:rPr>
            </w:pPr>
            <w:r w:rsidRPr="00503052">
              <w:rPr>
                <w:rFonts w:ascii="Times New Roman" w:hAnsi="Times New Roman" w:cs="Times New Roman"/>
                <w:b/>
                <w:vertAlign w:val="subscript"/>
              </w:rPr>
              <w:t>Dec</w:t>
            </w:r>
          </w:p>
        </w:tc>
      </w:tr>
      <w:tr w:rsidR="008F4420" w:rsidTr="006B0380">
        <w:tc>
          <w:tcPr>
            <w:tcW w:w="4106" w:type="dxa"/>
          </w:tcPr>
          <w:p w:rsidR="008F4420" w:rsidRPr="00503052" w:rsidRDefault="00A20FB8" w:rsidP="00A20FB8">
            <w:pPr>
              <w:jc w:val="both"/>
              <w:rPr>
                <w:rFonts w:ascii="Times New Roman" w:hAnsi="Times New Roman" w:cs="Times New Roman"/>
                <w:vertAlign w:val="subscript"/>
              </w:rPr>
            </w:pPr>
            <w:r w:rsidRPr="00503052">
              <w:rPr>
                <w:rFonts w:ascii="Times New Roman" w:hAnsi="Times New Roman" w:cs="Times New Roman"/>
                <w:vertAlign w:val="subscript"/>
              </w:rPr>
              <w:t>1.1. Proposal development supported by the Global Health Learning Programme by Western Pacific World Health Organization Office</w:t>
            </w:r>
          </w:p>
        </w:tc>
        <w:tc>
          <w:tcPr>
            <w:tcW w:w="709" w:type="dxa"/>
          </w:tcPr>
          <w:p w:rsidR="008F4420" w:rsidRPr="00503052" w:rsidRDefault="008F4420" w:rsidP="005163B5">
            <w:pPr>
              <w:spacing w:line="360" w:lineRule="auto"/>
              <w:rPr>
                <w:rFonts w:ascii="Times New Roman" w:hAnsi="Times New Roman" w:cs="Times New Roman"/>
                <w:vertAlign w:val="subscript"/>
              </w:rPr>
            </w:pPr>
            <w:r w:rsidRPr="00503052">
              <w:rPr>
                <w:rFonts w:ascii="Times New Roman" w:hAnsi="Times New Roman" w:cs="Times New Roman"/>
                <w:vertAlign w:val="subscript"/>
              </w:rPr>
              <w:t>2022</w:t>
            </w:r>
          </w:p>
        </w:tc>
        <w:tc>
          <w:tcPr>
            <w:tcW w:w="567" w:type="dxa"/>
            <w:shd w:val="clear" w:color="auto" w:fill="A8D08D" w:themeFill="accent6" w:themeFillTint="99"/>
          </w:tcPr>
          <w:p w:rsidR="008F4420" w:rsidRPr="00503052" w:rsidRDefault="008F4420" w:rsidP="005163B5">
            <w:pPr>
              <w:spacing w:line="360" w:lineRule="auto"/>
              <w:rPr>
                <w:rFonts w:ascii="Times New Roman" w:hAnsi="Times New Roman" w:cs="Times New Roman"/>
                <w:vertAlign w:val="subscript"/>
              </w:rPr>
            </w:pPr>
          </w:p>
        </w:tc>
        <w:tc>
          <w:tcPr>
            <w:tcW w:w="567" w:type="dxa"/>
            <w:shd w:val="clear" w:color="auto" w:fill="A8D08D" w:themeFill="accent6" w:themeFillTint="99"/>
          </w:tcPr>
          <w:p w:rsidR="008F4420" w:rsidRPr="00503052" w:rsidRDefault="008F4420" w:rsidP="005163B5">
            <w:pPr>
              <w:spacing w:line="360" w:lineRule="auto"/>
              <w:rPr>
                <w:rFonts w:ascii="Times New Roman" w:hAnsi="Times New Roman" w:cs="Times New Roman"/>
                <w:vertAlign w:val="subscript"/>
              </w:rPr>
            </w:pPr>
          </w:p>
        </w:tc>
        <w:tc>
          <w:tcPr>
            <w:tcW w:w="557" w:type="dxa"/>
            <w:tcBorders>
              <w:bottom w:val="single" w:sz="4" w:space="0" w:color="auto"/>
            </w:tcBorders>
          </w:tcPr>
          <w:p w:rsidR="008F4420" w:rsidRPr="00503052" w:rsidRDefault="008F4420" w:rsidP="005163B5">
            <w:pPr>
              <w:spacing w:line="360" w:lineRule="auto"/>
              <w:rPr>
                <w:rFonts w:ascii="Times New Roman" w:hAnsi="Times New Roman" w:cs="Times New Roman"/>
                <w:vertAlign w:val="subscript"/>
              </w:rPr>
            </w:pPr>
          </w:p>
        </w:tc>
        <w:tc>
          <w:tcPr>
            <w:tcW w:w="435" w:type="dxa"/>
          </w:tcPr>
          <w:p w:rsidR="008F4420" w:rsidRPr="00503052" w:rsidRDefault="008F4420" w:rsidP="005163B5">
            <w:pPr>
              <w:spacing w:line="360" w:lineRule="auto"/>
              <w:rPr>
                <w:rFonts w:ascii="Times New Roman" w:hAnsi="Times New Roman" w:cs="Times New Roman"/>
                <w:vertAlign w:val="subscript"/>
              </w:rPr>
            </w:pPr>
          </w:p>
        </w:tc>
        <w:tc>
          <w:tcPr>
            <w:tcW w:w="567" w:type="dxa"/>
          </w:tcPr>
          <w:p w:rsidR="008F4420" w:rsidRPr="00503052" w:rsidRDefault="008F4420" w:rsidP="005163B5">
            <w:pPr>
              <w:spacing w:line="360" w:lineRule="auto"/>
              <w:rPr>
                <w:rFonts w:ascii="Times New Roman" w:hAnsi="Times New Roman" w:cs="Times New Roman"/>
                <w:vertAlign w:val="subscript"/>
              </w:rPr>
            </w:pPr>
          </w:p>
        </w:tc>
        <w:tc>
          <w:tcPr>
            <w:tcW w:w="567" w:type="dxa"/>
          </w:tcPr>
          <w:p w:rsidR="008F4420" w:rsidRPr="00503052" w:rsidRDefault="008F4420" w:rsidP="005163B5">
            <w:pPr>
              <w:spacing w:line="360" w:lineRule="auto"/>
              <w:rPr>
                <w:rFonts w:ascii="Times New Roman" w:hAnsi="Times New Roman" w:cs="Times New Roman"/>
                <w:vertAlign w:val="subscript"/>
              </w:rPr>
            </w:pPr>
          </w:p>
        </w:tc>
        <w:tc>
          <w:tcPr>
            <w:tcW w:w="567" w:type="dxa"/>
          </w:tcPr>
          <w:p w:rsidR="008F4420" w:rsidRPr="00503052" w:rsidRDefault="008F4420" w:rsidP="005163B5">
            <w:pPr>
              <w:spacing w:line="360" w:lineRule="auto"/>
              <w:rPr>
                <w:rFonts w:ascii="Times New Roman" w:hAnsi="Times New Roman" w:cs="Times New Roman"/>
                <w:vertAlign w:val="subscript"/>
              </w:rPr>
            </w:pPr>
          </w:p>
        </w:tc>
        <w:tc>
          <w:tcPr>
            <w:tcW w:w="567" w:type="dxa"/>
          </w:tcPr>
          <w:p w:rsidR="008F4420" w:rsidRPr="00503052" w:rsidRDefault="008F4420" w:rsidP="005163B5">
            <w:pPr>
              <w:spacing w:line="360" w:lineRule="auto"/>
              <w:rPr>
                <w:rFonts w:ascii="Times New Roman" w:hAnsi="Times New Roman" w:cs="Times New Roman"/>
                <w:vertAlign w:val="subscript"/>
              </w:rPr>
            </w:pPr>
          </w:p>
        </w:tc>
        <w:tc>
          <w:tcPr>
            <w:tcW w:w="567" w:type="dxa"/>
          </w:tcPr>
          <w:p w:rsidR="008F4420" w:rsidRPr="00503052" w:rsidRDefault="008F4420" w:rsidP="005163B5">
            <w:pPr>
              <w:spacing w:line="360" w:lineRule="auto"/>
              <w:rPr>
                <w:rFonts w:ascii="Times New Roman" w:hAnsi="Times New Roman" w:cs="Times New Roman"/>
                <w:vertAlign w:val="subscript"/>
              </w:rPr>
            </w:pPr>
          </w:p>
        </w:tc>
        <w:tc>
          <w:tcPr>
            <w:tcW w:w="567" w:type="dxa"/>
          </w:tcPr>
          <w:p w:rsidR="008F4420" w:rsidRPr="00503052" w:rsidRDefault="008F4420" w:rsidP="005163B5">
            <w:pPr>
              <w:spacing w:line="360" w:lineRule="auto"/>
              <w:rPr>
                <w:rFonts w:ascii="Times New Roman" w:hAnsi="Times New Roman" w:cs="Times New Roman"/>
                <w:vertAlign w:val="subscript"/>
              </w:rPr>
            </w:pPr>
          </w:p>
        </w:tc>
        <w:tc>
          <w:tcPr>
            <w:tcW w:w="567" w:type="dxa"/>
          </w:tcPr>
          <w:p w:rsidR="008F4420" w:rsidRPr="00503052" w:rsidRDefault="008F4420" w:rsidP="005163B5">
            <w:pPr>
              <w:spacing w:line="360" w:lineRule="auto"/>
              <w:rPr>
                <w:rFonts w:ascii="Times New Roman" w:hAnsi="Times New Roman" w:cs="Times New Roman"/>
                <w:vertAlign w:val="subscript"/>
              </w:rPr>
            </w:pPr>
          </w:p>
        </w:tc>
        <w:tc>
          <w:tcPr>
            <w:tcW w:w="567" w:type="dxa"/>
          </w:tcPr>
          <w:p w:rsidR="008F4420" w:rsidRPr="00503052" w:rsidRDefault="008F4420" w:rsidP="005163B5">
            <w:pPr>
              <w:spacing w:line="360" w:lineRule="auto"/>
              <w:rPr>
                <w:rFonts w:ascii="Times New Roman" w:hAnsi="Times New Roman" w:cs="Times New Roman"/>
                <w:vertAlign w:val="subscript"/>
              </w:rPr>
            </w:pPr>
          </w:p>
        </w:tc>
        <w:tc>
          <w:tcPr>
            <w:tcW w:w="567" w:type="dxa"/>
          </w:tcPr>
          <w:p w:rsidR="008F4420" w:rsidRPr="00503052" w:rsidRDefault="008F4420" w:rsidP="005163B5">
            <w:pPr>
              <w:spacing w:line="360" w:lineRule="auto"/>
              <w:rPr>
                <w:rFonts w:ascii="Times New Roman" w:hAnsi="Times New Roman" w:cs="Times New Roman"/>
                <w:vertAlign w:val="subscript"/>
              </w:rPr>
            </w:pPr>
          </w:p>
        </w:tc>
        <w:tc>
          <w:tcPr>
            <w:tcW w:w="709" w:type="dxa"/>
          </w:tcPr>
          <w:p w:rsidR="008F4420" w:rsidRPr="00503052" w:rsidRDefault="008F4420" w:rsidP="005163B5">
            <w:pPr>
              <w:spacing w:line="360" w:lineRule="auto"/>
              <w:rPr>
                <w:rFonts w:ascii="Times New Roman" w:hAnsi="Times New Roman" w:cs="Times New Roman"/>
                <w:vertAlign w:val="subscript"/>
              </w:rPr>
            </w:pPr>
          </w:p>
        </w:tc>
        <w:tc>
          <w:tcPr>
            <w:tcW w:w="592" w:type="dxa"/>
          </w:tcPr>
          <w:p w:rsidR="008F4420" w:rsidRPr="00503052" w:rsidRDefault="008F4420" w:rsidP="005163B5">
            <w:pPr>
              <w:spacing w:line="360" w:lineRule="auto"/>
              <w:rPr>
                <w:rFonts w:ascii="Times New Roman" w:hAnsi="Times New Roman" w:cs="Times New Roman"/>
                <w:vertAlign w:val="subscript"/>
              </w:rPr>
            </w:pPr>
          </w:p>
        </w:tc>
      </w:tr>
      <w:tr w:rsidR="008F4420" w:rsidTr="006B0380">
        <w:tc>
          <w:tcPr>
            <w:tcW w:w="4106" w:type="dxa"/>
          </w:tcPr>
          <w:p w:rsidR="008F4420" w:rsidRPr="00503052" w:rsidRDefault="002A000D" w:rsidP="005163B5">
            <w:pPr>
              <w:spacing w:line="360" w:lineRule="auto"/>
              <w:rPr>
                <w:rFonts w:ascii="Times New Roman" w:hAnsi="Times New Roman" w:cs="Times New Roman"/>
                <w:vertAlign w:val="subscript"/>
              </w:rPr>
            </w:pPr>
            <w:r w:rsidRPr="00503052">
              <w:rPr>
                <w:rFonts w:ascii="Times New Roman" w:hAnsi="Times New Roman" w:cs="Times New Roman"/>
                <w:vertAlign w:val="subscript"/>
              </w:rPr>
              <w:t>1.2 Presentation of proposal to the director</w:t>
            </w:r>
          </w:p>
        </w:tc>
        <w:tc>
          <w:tcPr>
            <w:tcW w:w="709" w:type="dxa"/>
          </w:tcPr>
          <w:p w:rsidR="008F4420" w:rsidRPr="00503052" w:rsidRDefault="008F4420" w:rsidP="005163B5">
            <w:pPr>
              <w:spacing w:line="360" w:lineRule="auto"/>
              <w:rPr>
                <w:rFonts w:ascii="Times New Roman" w:hAnsi="Times New Roman" w:cs="Times New Roman"/>
                <w:vertAlign w:val="subscript"/>
              </w:rPr>
            </w:pPr>
            <w:r w:rsidRPr="00503052">
              <w:rPr>
                <w:rFonts w:ascii="Times New Roman" w:hAnsi="Times New Roman" w:cs="Times New Roman"/>
                <w:vertAlign w:val="subscript"/>
              </w:rPr>
              <w:t>2022</w:t>
            </w:r>
          </w:p>
        </w:tc>
        <w:tc>
          <w:tcPr>
            <w:tcW w:w="567" w:type="dxa"/>
          </w:tcPr>
          <w:p w:rsidR="008F4420" w:rsidRPr="00503052" w:rsidRDefault="008F4420" w:rsidP="005163B5">
            <w:pPr>
              <w:spacing w:line="360" w:lineRule="auto"/>
              <w:rPr>
                <w:rFonts w:ascii="Times New Roman" w:hAnsi="Times New Roman" w:cs="Times New Roman"/>
                <w:vertAlign w:val="subscript"/>
              </w:rPr>
            </w:pPr>
          </w:p>
        </w:tc>
        <w:tc>
          <w:tcPr>
            <w:tcW w:w="567" w:type="dxa"/>
          </w:tcPr>
          <w:p w:rsidR="008F4420" w:rsidRPr="00503052" w:rsidRDefault="008F4420" w:rsidP="005163B5">
            <w:pPr>
              <w:spacing w:line="360" w:lineRule="auto"/>
              <w:rPr>
                <w:rFonts w:ascii="Times New Roman" w:hAnsi="Times New Roman" w:cs="Times New Roman"/>
                <w:vertAlign w:val="subscript"/>
              </w:rPr>
            </w:pPr>
          </w:p>
        </w:tc>
        <w:tc>
          <w:tcPr>
            <w:tcW w:w="557" w:type="dxa"/>
            <w:shd w:val="clear" w:color="auto" w:fill="A8D08D" w:themeFill="accent6" w:themeFillTint="99"/>
          </w:tcPr>
          <w:p w:rsidR="008F4420" w:rsidRPr="00503052" w:rsidRDefault="008F4420" w:rsidP="005163B5">
            <w:pPr>
              <w:spacing w:line="360" w:lineRule="auto"/>
              <w:rPr>
                <w:rFonts w:ascii="Times New Roman" w:hAnsi="Times New Roman" w:cs="Times New Roman"/>
                <w:vertAlign w:val="subscript"/>
              </w:rPr>
            </w:pPr>
          </w:p>
        </w:tc>
        <w:tc>
          <w:tcPr>
            <w:tcW w:w="435" w:type="dxa"/>
            <w:tcBorders>
              <w:bottom w:val="single" w:sz="4" w:space="0" w:color="auto"/>
            </w:tcBorders>
          </w:tcPr>
          <w:p w:rsidR="008F4420" w:rsidRPr="00503052" w:rsidRDefault="008F4420" w:rsidP="005163B5">
            <w:pPr>
              <w:spacing w:line="360" w:lineRule="auto"/>
              <w:rPr>
                <w:rFonts w:ascii="Times New Roman" w:hAnsi="Times New Roman" w:cs="Times New Roman"/>
                <w:vertAlign w:val="subscript"/>
              </w:rPr>
            </w:pPr>
          </w:p>
        </w:tc>
        <w:tc>
          <w:tcPr>
            <w:tcW w:w="567" w:type="dxa"/>
          </w:tcPr>
          <w:p w:rsidR="008F4420" w:rsidRPr="00503052" w:rsidRDefault="008F4420" w:rsidP="005163B5">
            <w:pPr>
              <w:spacing w:line="360" w:lineRule="auto"/>
              <w:rPr>
                <w:rFonts w:ascii="Times New Roman" w:hAnsi="Times New Roman" w:cs="Times New Roman"/>
                <w:vertAlign w:val="subscript"/>
              </w:rPr>
            </w:pPr>
          </w:p>
        </w:tc>
        <w:tc>
          <w:tcPr>
            <w:tcW w:w="567" w:type="dxa"/>
          </w:tcPr>
          <w:p w:rsidR="008F4420" w:rsidRPr="00503052" w:rsidRDefault="008F4420" w:rsidP="005163B5">
            <w:pPr>
              <w:spacing w:line="360" w:lineRule="auto"/>
              <w:rPr>
                <w:rFonts w:ascii="Times New Roman" w:hAnsi="Times New Roman" w:cs="Times New Roman"/>
                <w:vertAlign w:val="subscript"/>
              </w:rPr>
            </w:pPr>
          </w:p>
        </w:tc>
        <w:tc>
          <w:tcPr>
            <w:tcW w:w="567" w:type="dxa"/>
          </w:tcPr>
          <w:p w:rsidR="008F4420" w:rsidRPr="00503052" w:rsidRDefault="008F4420" w:rsidP="005163B5">
            <w:pPr>
              <w:spacing w:line="360" w:lineRule="auto"/>
              <w:rPr>
                <w:rFonts w:ascii="Times New Roman" w:hAnsi="Times New Roman" w:cs="Times New Roman"/>
                <w:vertAlign w:val="subscript"/>
              </w:rPr>
            </w:pPr>
          </w:p>
        </w:tc>
        <w:tc>
          <w:tcPr>
            <w:tcW w:w="567" w:type="dxa"/>
          </w:tcPr>
          <w:p w:rsidR="008F4420" w:rsidRPr="00503052" w:rsidRDefault="008F4420" w:rsidP="005163B5">
            <w:pPr>
              <w:spacing w:line="360" w:lineRule="auto"/>
              <w:rPr>
                <w:rFonts w:ascii="Times New Roman" w:hAnsi="Times New Roman" w:cs="Times New Roman"/>
                <w:vertAlign w:val="subscript"/>
              </w:rPr>
            </w:pPr>
          </w:p>
        </w:tc>
        <w:tc>
          <w:tcPr>
            <w:tcW w:w="567" w:type="dxa"/>
          </w:tcPr>
          <w:p w:rsidR="008F4420" w:rsidRPr="00503052" w:rsidRDefault="008F4420" w:rsidP="005163B5">
            <w:pPr>
              <w:spacing w:line="360" w:lineRule="auto"/>
              <w:rPr>
                <w:rFonts w:ascii="Times New Roman" w:hAnsi="Times New Roman" w:cs="Times New Roman"/>
                <w:vertAlign w:val="subscript"/>
              </w:rPr>
            </w:pPr>
          </w:p>
        </w:tc>
        <w:tc>
          <w:tcPr>
            <w:tcW w:w="567" w:type="dxa"/>
          </w:tcPr>
          <w:p w:rsidR="008F4420" w:rsidRPr="00503052" w:rsidRDefault="008F4420" w:rsidP="005163B5">
            <w:pPr>
              <w:spacing w:line="360" w:lineRule="auto"/>
              <w:rPr>
                <w:rFonts w:ascii="Times New Roman" w:hAnsi="Times New Roman" w:cs="Times New Roman"/>
                <w:vertAlign w:val="subscript"/>
              </w:rPr>
            </w:pPr>
          </w:p>
        </w:tc>
        <w:tc>
          <w:tcPr>
            <w:tcW w:w="567" w:type="dxa"/>
          </w:tcPr>
          <w:p w:rsidR="008F4420" w:rsidRPr="00503052" w:rsidRDefault="008F4420" w:rsidP="005163B5">
            <w:pPr>
              <w:spacing w:line="360" w:lineRule="auto"/>
              <w:rPr>
                <w:rFonts w:ascii="Times New Roman" w:hAnsi="Times New Roman" w:cs="Times New Roman"/>
                <w:vertAlign w:val="subscript"/>
              </w:rPr>
            </w:pPr>
          </w:p>
        </w:tc>
        <w:tc>
          <w:tcPr>
            <w:tcW w:w="567" w:type="dxa"/>
          </w:tcPr>
          <w:p w:rsidR="008F4420" w:rsidRPr="00503052" w:rsidRDefault="008F4420" w:rsidP="005163B5">
            <w:pPr>
              <w:spacing w:line="360" w:lineRule="auto"/>
              <w:rPr>
                <w:rFonts w:ascii="Times New Roman" w:hAnsi="Times New Roman" w:cs="Times New Roman"/>
                <w:vertAlign w:val="subscript"/>
              </w:rPr>
            </w:pPr>
          </w:p>
        </w:tc>
        <w:tc>
          <w:tcPr>
            <w:tcW w:w="567" w:type="dxa"/>
          </w:tcPr>
          <w:p w:rsidR="008F4420" w:rsidRPr="00503052" w:rsidRDefault="008F4420" w:rsidP="005163B5">
            <w:pPr>
              <w:spacing w:line="360" w:lineRule="auto"/>
              <w:rPr>
                <w:rFonts w:ascii="Times New Roman" w:hAnsi="Times New Roman" w:cs="Times New Roman"/>
                <w:vertAlign w:val="subscript"/>
              </w:rPr>
            </w:pPr>
          </w:p>
        </w:tc>
        <w:tc>
          <w:tcPr>
            <w:tcW w:w="709" w:type="dxa"/>
          </w:tcPr>
          <w:p w:rsidR="008F4420" w:rsidRPr="00503052" w:rsidRDefault="008F4420" w:rsidP="005163B5">
            <w:pPr>
              <w:spacing w:line="360" w:lineRule="auto"/>
              <w:rPr>
                <w:rFonts w:ascii="Times New Roman" w:hAnsi="Times New Roman" w:cs="Times New Roman"/>
                <w:vertAlign w:val="subscript"/>
              </w:rPr>
            </w:pPr>
          </w:p>
        </w:tc>
        <w:tc>
          <w:tcPr>
            <w:tcW w:w="592" w:type="dxa"/>
          </w:tcPr>
          <w:p w:rsidR="008F4420" w:rsidRPr="00503052" w:rsidRDefault="008F4420" w:rsidP="005163B5">
            <w:pPr>
              <w:spacing w:line="360" w:lineRule="auto"/>
              <w:rPr>
                <w:rFonts w:ascii="Times New Roman" w:hAnsi="Times New Roman" w:cs="Times New Roman"/>
                <w:vertAlign w:val="subscript"/>
              </w:rPr>
            </w:pPr>
          </w:p>
        </w:tc>
      </w:tr>
      <w:tr w:rsidR="008F4420" w:rsidTr="006B0380">
        <w:tc>
          <w:tcPr>
            <w:tcW w:w="4106" w:type="dxa"/>
          </w:tcPr>
          <w:p w:rsidR="008F4420" w:rsidRPr="00503052" w:rsidRDefault="002A000D" w:rsidP="005163B5">
            <w:pPr>
              <w:spacing w:line="360" w:lineRule="auto"/>
              <w:rPr>
                <w:rFonts w:ascii="Times New Roman" w:hAnsi="Times New Roman" w:cs="Times New Roman"/>
                <w:vertAlign w:val="subscript"/>
              </w:rPr>
            </w:pPr>
            <w:r w:rsidRPr="00503052">
              <w:rPr>
                <w:rFonts w:ascii="Times New Roman" w:hAnsi="Times New Roman" w:cs="Times New Roman"/>
                <w:vertAlign w:val="subscript"/>
              </w:rPr>
              <w:t>2.1 Letters for website approval</w:t>
            </w:r>
          </w:p>
        </w:tc>
        <w:tc>
          <w:tcPr>
            <w:tcW w:w="709" w:type="dxa"/>
          </w:tcPr>
          <w:p w:rsidR="008F4420" w:rsidRPr="00503052" w:rsidRDefault="004B32A4" w:rsidP="005163B5">
            <w:pPr>
              <w:spacing w:line="360" w:lineRule="auto"/>
              <w:rPr>
                <w:rFonts w:ascii="Times New Roman" w:hAnsi="Times New Roman" w:cs="Times New Roman"/>
                <w:vertAlign w:val="subscript"/>
              </w:rPr>
            </w:pPr>
            <w:r w:rsidRPr="00503052">
              <w:rPr>
                <w:rFonts w:ascii="Times New Roman" w:hAnsi="Times New Roman" w:cs="Times New Roman"/>
                <w:vertAlign w:val="subscript"/>
              </w:rPr>
              <w:t>2023</w:t>
            </w:r>
          </w:p>
        </w:tc>
        <w:tc>
          <w:tcPr>
            <w:tcW w:w="567" w:type="dxa"/>
          </w:tcPr>
          <w:p w:rsidR="008F4420" w:rsidRPr="00503052" w:rsidRDefault="008F4420" w:rsidP="005163B5">
            <w:pPr>
              <w:spacing w:line="360" w:lineRule="auto"/>
              <w:rPr>
                <w:rFonts w:ascii="Times New Roman" w:hAnsi="Times New Roman" w:cs="Times New Roman"/>
                <w:vertAlign w:val="subscript"/>
              </w:rPr>
            </w:pPr>
          </w:p>
        </w:tc>
        <w:tc>
          <w:tcPr>
            <w:tcW w:w="567" w:type="dxa"/>
          </w:tcPr>
          <w:p w:rsidR="008F4420" w:rsidRPr="00503052" w:rsidRDefault="008F4420" w:rsidP="005163B5">
            <w:pPr>
              <w:spacing w:line="360" w:lineRule="auto"/>
              <w:rPr>
                <w:rFonts w:ascii="Times New Roman" w:hAnsi="Times New Roman" w:cs="Times New Roman"/>
                <w:vertAlign w:val="subscript"/>
              </w:rPr>
            </w:pPr>
          </w:p>
        </w:tc>
        <w:tc>
          <w:tcPr>
            <w:tcW w:w="557" w:type="dxa"/>
          </w:tcPr>
          <w:p w:rsidR="008F4420" w:rsidRPr="00503052" w:rsidRDefault="008F4420" w:rsidP="005163B5">
            <w:pPr>
              <w:spacing w:line="360" w:lineRule="auto"/>
              <w:rPr>
                <w:rFonts w:ascii="Times New Roman" w:hAnsi="Times New Roman" w:cs="Times New Roman"/>
                <w:vertAlign w:val="subscript"/>
              </w:rPr>
            </w:pPr>
          </w:p>
        </w:tc>
        <w:tc>
          <w:tcPr>
            <w:tcW w:w="435" w:type="dxa"/>
            <w:shd w:val="clear" w:color="auto" w:fill="A8D08D" w:themeFill="accent6" w:themeFillTint="99"/>
          </w:tcPr>
          <w:p w:rsidR="008F4420" w:rsidRPr="00503052" w:rsidRDefault="008F4420" w:rsidP="005163B5">
            <w:pPr>
              <w:spacing w:line="360" w:lineRule="auto"/>
              <w:rPr>
                <w:rFonts w:ascii="Times New Roman" w:hAnsi="Times New Roman" w:cs="Times New Roman"/>
                <w:vertAlign w:val="subscript"/>
              </w:rPr>
            </w:pPr>
          </w:p>
        </w:tc>
        <w:tc>
          <w:tcPr>
            <w:tcW w:w="567" w:type="dxa"/>
            <w:tcBorders>
              <w:bottom w:val="single" w:sz="4" w:space="0" w:color="auto"/>
            </w:tcBorders>
          </w:tcPr>
          <w:p w:rsidR="008F4420" w:rsidRPr="00503052" w:rsidRDefault="008F4420" w:rsidP="005163B5">
            <w:pPr>
              <w:spacing w:line="360" w:lineRule="auto"/>
              <w:rPr>
                <w:rFonts w:ascii="Times New Roman" w:hAnsi="Times New Roman" w:cs="Times New Roman"/>
                <w:vertAlign w:val="subscript"/>
              </w:rPr>
            </w:pPr>
          </w:p>
        </w:tc>
        <w:tc>
          <w:tcPr>
            <w:tcW w:w="567" w:type="dxa"/>
          </w:tcPr>
          <w:p w:rsidR="008F4420" w:rsidRPr="00503052" w:rsidRDefault="008F4420" w:rsidP="005163B5">
            <w:pPr>
              <w:spacing w:line="360" w:lineRule="auto"/>
              <w:rPr>
                <w:rFonts w:ascii="Times New Roman" w:hAnsi="Times New Roman" w:cs="Times New Roman"/>
                <w:vertAlign w:val="subscript"/>
              </w:rPr>
            </w:pPr>
          </w:p>
        </w:tc>
        <w:tc>
          <w:tcPr>
            <w:tcW w:w="567" w:type="dxa"/>
          </w:tcPr>
          <w:p w:rsidR="008F4420" w:rsidRPr="00503052" w:rsidRDefault="008F4420" w:rsidP="005163B5">
            <w:pPr>
              <w:spacing w:line="360" w:lineRule="auto"/>
              <w:rPr>
                <w:rFonts w:ascii="Times New Roman" w:hAnsi="Times New Roman" w:cs="Times New Roman"/>
                <w:vertAlign w:val="subscript"/>
              </w:rPr>
            </w:pPr>
          </w:p>
        </w:tc>
        <w:tc>
          <w:tcPr>
            <w:tcW w:w="567" w:type="dxa"/>
          </w:tcPr>
          <w:p w:rsidR="008F4420" w:rsidRPr="00503052" w:rsidRDefault="008F4420" w:rsidP="005163B5">
            <w:pPr>
              <w:spacing w:line="360" w:lineRule="auto"/>
              <w:rPr>
                <w:rFonts w:ascii="Times New Roman" w:hAnsi="Times New Roman" w:cs="Times New Roman"/>
                <w:vertAlign w:val="subscript"/>
              </w:rPr>
            </w:pPr>
          </w:p>
        </w:tc>
        <w:tc>
          <w:tcPr>
            <w:tcW w:w="567" w:type="dxa"/>
          </w:tcPr>
          <w:p w:rsidR="008F4420" w:rsidRPr="00503052" w:rsidRDefault="008F4420" w:rsidP="005163B5">
            <w:pPr>
              <w:spacing w:line="360" w:lineRule="auto"/>
              <w:rPr>
                <w:rFonts w:ascii="Times New Roman" w:hAnsi="Times New Roman" w:cs="Times New Roman"/>
                <w:vertAlign w:val="subscript"/>
              </w:rPr>
            </w:pPr>
          </w:p>
        </w:tc>
        <w:tc>
          <w:tcPr>
            <w:tcW w:w="567" w:type="dxa"/>
          </w:tcPr>
          <w:p w:rsidR="008F4420" w:rsidRPr="00503052" w:rsidRDefault="008F4420" w:rsidP="005163B5">
            <w:pPr>
              <w:spacing w:line="360" w:lineRule="auto"/>
              <w:rPr>
                <w:rFonts w:ascii="Times New Roman" w:hAnsi="Times New Roman" w:cs="Times New Roman"/>
                <w:vertAlign w:val="subscript"/>
              </w:rPr>
            </w:pPr>
          </w:p>
        </w:tc>
        <w:tc>
          <w:tcPr>
            <w:tcW w:w="567" w:type="dxa"/>
          </w:tcPr>
          <w:p w:rsidR="008F4420" w:rsidRPr="00503052" w:rsidRDefault="008F4420" w:rsidP="005163B5">
            <w:pPr>
              <w:spacing w:line="360" w:lineRule="auto"/>
              <w:rPr>
                <w:rFonts w:ascii="Times New Roman" w:hAnsi="Times New Roman" w:cs="Times New Roman"/>
                <w:vertAlign w:val="subscript"/>
              </w:rPr>
            </w:pPr>
          </w:p>
        </w:tc>
        <w:tc>
          <w:tcPr>
            <w:tcW w:w="567" w:type="dxa"/>
          </w:tcPr>
          <w:p w:rsidR="008F4420" w:rsidRPr="00503052" w:rsidRDefault="008F4420" w:rsidP="005163B5">
            <w:pPr>
              <w:spacing w:line="360" w:lineRule="auto"/>
              <w:rPr>
                <w:rFonts w:ascii="Times New Roman" w:hAnsi="Times New Roman" w:cs="Times New Roman"/>
                <w:vertAlign w:val="subscript"/>
              </w:rPr>
            </w:pPr>
          </w:p>
        </w:tc>
        <w:tc>
          <w:tcPr>
            <w:tcW w:w="567" w:type="dxa"/>
          </w:tcPr>
          <w:p w:rsidR="008F4420" w:rsidRPr="00503052" w:rsidRDefault="008F4420" w:rsidP="005163B5">
            <w:pPr>
              <w:spacing w:line="360" w:lineRule="auto"/>
              <w:rPr>
                <w:rFonts w:ascii="Times New Roman" w:hAnsi="Times New Roman" w:cs="Times New Roman"/>
                <w:vertAlign w:val="subscript"/>
              </w:rPr>
            </w:pPr>
          </w:p>
        </w:tc>
        <w:tc>
          <w:tcPr>
            <w:tcW w:w="709" w:type="dxa"/>
          </w:tcPr>
          <w:p w:rsidR="008F4420" w:rsidRPr="00503052" w:rsidRDefault="008F4420" w:rsidP="005163B5">
            <w:pPr>
              <w:spacing w:line="360" w:lineRule="auto"/>
              <w:rPr>
                <w:rFonts w:ascii="Times New Roman" w:hAnsi="Times New Roman" w:cs="Times New Roman"/>
                <w:vertAlign w:val="subscript"/>
              </w:rPr>
            </w:pPr>
          </w:p>
        </w:tc>
        <w:tc>
          <w:tcPr>
            <w:tcW w:w="592" w:type="dxa"/>
          </w:tcPr>
          <w:p w:rsidR="008F4420" w:rsidRPr="00503052" w:rsidRDefault="008F4420" w:rsidP="005163B5">
            <w:pPr>
              <w:spacing w:line="360" w:lineRule="auto"/>
              <w:rPr>
                <w:rFonts w:ascii="Times New Roman" w:hAnsi="Times New Roman" w:cs="Times New Roman"/>
                <w:vertAlign w:val="subscript"/>
              </w:rPr>
            </w:pPr>
          </w:p>
        </w:tc>
      </w:tr>
      <w:tr w:rsidR="004B32A4" w:rsidTr="006B0380">
        <w:tc>
          <w:tcPr>
            <w:tcW w:w="4106" w:type="dxa"/>
          </w:tcPr>
          <w:p w:rsidR="004B32A4" w:rsidRPr="00503052" w:rsidRDefault="004B32A4" w:rsidP="004B32A4">
            <w:pPr>
              <w:spacing w:line="360" w:lineRule="auto"/>
              <w:rPr>
                <w:rFonts w:ascii="Times New Roman" w:hAnsi="Times New Roman" w:cs="Times New Roman"/>
                <w:vertAlign w:val="subscript"/>
              </w:rPr>
            </w:pPr>
            <w:r w:rsidRPr="00503052">
              <w:rPr>
                <w:rFonts w:ascii="Times New Roman" w:hAnsi="Times New Roman" w:cs="Times New Roman"/>
                <w:vertAlign w:val="subscript"/>
              </w:rPr>
              <w:t xml:space="preserve">2.2 Website </w:t>
            </w:r>
            <w:r w:rsidR="004D7FE3" w:rsidRPr="00503052">
              <w:rPr>
                <w:rFonts w:ascii="Times New Roman" w:hAnsi="Times New Roman" w:cs="Times New Roman"/>
                <w:vertAlign w:val="subscript"/>
              </w:rPr>
              <w:t>development</w:t>
            </w:r>
          </w:p>
        </w:tc>
        <w:tc>
          <w:tcPr>
            <w:tcW w:w="709" w:type="dxa"/>
          </w:tcPr>
          <w:p w:rsidR="004B32A4" w:rsidRPr="00503052" w:rsidRDefault="004B32A4" w:rsidP="004B32A4">
            <w:pPr>
              <w:rPr>
                <w:rFonts w:ascii="Times New Roman" w:hAnsi="Times New Roman" w:cs="Times New Roman"/>
              </w:rPr>
            </w:pPr>
            <w:r w:rsidRPr="00503052">
              <w:rPr>
                <w:rFonts w:ascii="Times New Roman" w:hAnsi="Times New Roman" w:cs="Times New Roman"/>
                <w:vertAlign w:val="subscript"/>
              </w:rPr>
              <w:t>2023</w:t>
            </w: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57" w:type="dxa"/>
          </w:tcPr>
          <w:p w:rsidR="004B32A4" w:rsidRPr="00503052" w:rsidRDefault="004B32A4" w:rsidP="004B32A4">
            <w:pPr>
              <w:spacing w:line="360" w:lineRule="auto"/>
              <w:rPr>
                <w:rFonts w:ascii="Times New Roman" w:hAnsi="Times New Roman" w:cs="Times New Roman"/>
                <w:vertAlign w:val="subscript"/>
              </w:rPr>
            </w:pPr>
          </w:p>
        </w:tc>
        <w:tc>
          <w:tcPr>
            <w:tcW w:w="435" w:type="dxa"/>
            <w:tcBorders>
              <w:bottom w:val="single" w:sz="4" w:space="0" w:color="auto"/>
            </w:tcBorders>
          </w:tcPr>
          <w:p w:rsidR="004B32A4" w:rsidRPr="00503052" w:rsidRDefault="004B32A4" w:rsidP="004B32A4">
            <w:pPr>
              <w:spacing w:line="360" w:lineRule="auto"/>
              <w:rPr>
                <w:rFonts w:ascii="Times New Roman" w:hAnsi="Times New Roman" w:cs="Times New Roman"/>
                <w:vertAlign w:val="subscript"/>
              </w:rPr>
            </w:pPr>
          </w:p>
        </w:tc>
        <w:tc>
          <w:tcPr>
            <w:tcW w:w="567" w:type="dxa"/>
            <w:shd w:val="clear" w:color="auto" w:fill="A8D08D" w:themeFill="accent6" w:themeFillTint="99"/>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709" w:type="dxa"/>
          </w:tcPr>
          <w:p w:rsidR="004B32A4" w:rsidRPr="00503052" w:rsidRDefault="004B32A4" w:rsidP="004B32A4">
            <w:pPr>
              <w:spacing w:line="360" w:lineRule="auto"/>
              <w:rPr>
                <w:rFonts w:ascii="Times New Roman" w:hAnsi="Times New Roman" w:cs="Times New Roman"/>
                <w:vertAlign w:val="subscript"/>
              </w:rPr>
            </w:pPr>
          </w:p>
        </w:tc>
        <w:tc>
          <w:tcPr>
            <w:tcW w:w="592" w:type="dxa"/>
          </w:tcPr>
          <w:p w:rsidR="004B32A4" w:rsidRPr="00503052" w:rsidRDefault="004B32A4" w:rsidP="004B32A4">
            <w:pPr>
              <w:spacing w:line="360" w:lineRule="auto"/>
              <w:rPr>
                <w:rFonts w:ascii="Times New Roman" w:hAnsi="Times New Roman" w:cs="Times New Roman"/>
                <w:vertAlign w:val="subscript"/>
              </w:rPr>
            </w:pPr>
          </w:p>
        </w:tc>
      </w:tr>
      <w:tr w:rsidR="004B32A4" w:rsidTr="006B0380">
        <w:tc>
          <w:tcPr>
            <w:tcW w:w="4106" w:type="dxa"/>
          </w:tcPr>
          <w:p w:rsidR="004B32A4" w:rsidRPr="00503052" w:rsidRDefault="004B32A4" w:rsidP="004B32A4">
            <w:pPr>
              <w:spacing w:line="360" w:lineRule="auto"/>
              <w:rPr>
                <w:rFonts w:ascii="Times New Roman" w:hAnsi="Times New Roman" w:cs="Times New Roman"/>
                <w:vertAlign w:val="subscript"/>
              </w:rPr>
            </w:pPr>
            <w:r w:rsidRPr="00503052">
              <w:rPr>
                <w:rFonts w:ascii="Times New Roman" w:hAnsi="Times New Roman" w:cs="Times New Roman"/>
                <w:vertAlign w:val="subscript"/>
              </w:rPr>
              <w:t>3.1 Letters of invitation for TPC-OHCIS workshop</w:t>
            </w:r>
          </w:p>
        </w:tc>
        <w:tc>
          <w:tcPr>
            <w:tcW w:w="709" w:type="dxa"/>
          </w:tcPr>
          <w:p w:rsidR="004B32A4" w:rsidRPr="00503052" w:rsidRDefault="004B32A4" w:rsidP="004B32A4">
            <w:pPr>
              <w:rPr>
                <w:rFonts w:ascii="Times New Roman" w:hAnsi="Times New Roman" w:cs="Times New Roman"/>
              </w:rPr>
            </w:pPr>
            <w:r w:rsidRPr="00503052">
              <w:rPr>
                <w:rFonts w:ascii="Times New Roman" w:hAnsi="Times New Roman" w:cs="Times New Roman"/>
                <w:vertAlign w:val="subscript"/>
              </w:rPr>
              <w:t>2023</w:t>
            </w: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57" w:type="dxa"/>
          </w:tcPr>
          <w:p w:rsidR="004B32A4" w:rsidRPr="00503052" w:rsidRDefault="004B32A4" w:rsidP="004B32A4">
            <w:pPr>
              <w:spacing w:line="360" w:lineRule="auto"/>
              <w:rPr>
                <w:rFonts w:ascii="Times New Roman" w:hAnsi="Times New Roman" w:cs="Times New Roman"/>
                <w:vertAlign w:val="subscript"/>
              </w:rPr>
            </w:pPr>
          </w:p>
        </w:tc>
        <w:tc>
          <w:tcPr>
            <w:tcW w:w="435" w:type="dxa"/>
            <w:shd w:val="clear" w:color="auto" w:fill="A8D08D" w:themeFill="accent6" w:themeFillTint="99"/>
          </w:tcPr>
          <w:p w:rsidR="004B32A4" w:rsidRPr="00503052" w:rsidRDefault="004B32A4" w:rsidP="004B32A4">
            <w:pPr>
              <w:spacing w:line="360" w:lineRule="auto"/>
              <w:rPr>
                <w:rFonts w:ascii="Times New Roman" w:hAnsi="Times New Roman" w:cs="Times New Roman"/>
                <w:vertAlign w:val="subscript"/>
              </w:rPr>
            </w:pPr>
          </w:p>
        </w:tc>
        <w:tc>
          <w:tcPr>
            <w:tcW w:w="567" w:type="dxa"/>
            <w:tcBorders>
              <w:bottom w:val="single" w:sz="4" w:space="0" w:color="auto"/>
            </w:tcBorders>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709" w:type="dxa"/>
          </w:tcPr>
          <w:p w:rsidR="004B32A4" w:rsidRPr="00503052" w:rsidRDefault="004B32A4" w:rsidP="004B32A4">
            <w:pPr>
              <w:spacing w:line="360" w:lineRule="auto"/>
              <w:rPr>
                <w:rFonts w:ascii="Times New Roman" w:hAnsi="Times New Roman" w:cs="Times New Roman"/>
                <w:vertAlign w:val="subscript"/>
              </w:rPr>
            </w:pPr>
          </w:p>
        </w:tc>
        <w:tc>
          <w:tcPr>
            <w:tcW w:w="592" w:type="dxa"/>
          </w:tcPr>
          <w:p w:rsidR="004B32A4" w:rsidRPr="00503052" w:rsidRDefault="004B32A4" w:rsidP="004B32A4">
            <w:pPr>
              <w:spacing w:line="360" w:lineRule="auto"/>
              <w:rPr>
                <w:rFonts w:ascii="Times New Roman" w:hAnsi="Times New Roman" w:cs="Times New Roman"/>
                <w:vertAlign w:val="subscript"/>
              </w:rPr>
            </w:pPr>
          </w:p>
        </w:tc>
      </w:tr>
      <w:tr w:rsidR="004B32A4" w:rsidTr="006B0380">
        <w:tc>
          <w:tcPr>
            <w:tcW w:w="4106" w:type="dxa"/>
          </w:tcPr>
          <w:p w:rsidR="004B32A4" w:rsidRPr="00503052" w:rsidRDefault="00C40442" w:rsidP="004B32A4">
            <w:pPr>
              <w:spacing w:line="360" w:lineRule="auto"/>
              <w:rPr>
                <w:rFonts w:ascii="Times New Roman" w:hAnsi="Times New Roman" w:cs="Times New Roman"/>
                <w:vertAlign w:val="subscript"/>
              </w:rPr>
            </w:pPr>
            <w:r>
              <w:rPr>
                <w:rFonts w:ascii="Times New Roman" w:hAnsi="Times New Roman" w:cs="Times New Roman"/>
                <w:vertAlign w:val="subscript"/>
              </w:rPr>
              <w:t>3.3 Filmora</w:t>
            </w:r>
            <w:r w:rsidR="004B32A4" w:rsidRPr="00503052">
              <w:rPr>
                <w:rFonts w:ascii="Times New Roman" w:hAnsi="Times New Roman" w:cs="Times New Roman"/>
                <w:vertAlign w:val="subscript"/>
              </w:rPr>
              <w:t xml:space="preserve"> online training</w:t>
            </w:r>
          </w:p>
        </w:tc>
        <w:tc>
          <w:tcPr>
            <w:tcW w:w="709" w:type="dxa"/>
          </w:tcPr>
          <w:p w:rsidR="004B32A4" w:rsidRPr="00503052" w:rsidRDefault="004B32A4" w:rsidP="004B32A4">
            <w:pPr>
              <w:rPr>
                <w:rFonts w:ascii="Times New Roman" w:hAnsi="Times New Roman" w:cs="Times New Roman"/>
              </w:rPr>
            </w:pPr>
            <w:r w:rsidRPr="00503052">
              <w:rPr>
                <w:rFonts w:ascii="Times New Roman" w:hAnsi="Times New Roman" w:cs="Times New Roman"/>
                <w:vertAlign w:val="subscript"/>
              </w:rPr>
              <w:t>2023</w:t>
            </w: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57" w:type="dxa"/>
          </w:tcPr>
          <w:p w:rsidR="004B32A4" w:rsidRPr="00503052" w:rsidRDefault="004B32A4" w:rsidP="004B32A4">
            <w:pPr>
              <w:spacing w:line="360" w:lineRule="auto"/>
              <w:rPr>
                <w:rFonts w:ascii="Times New Roman" w:hAnsi="Times New Roman" w:cs="Times New Roman"/>
                <w:vertAlign w:val="subscript"/>
              </w:rPr>
            </w:pPr>
          </w:p>
        </w:tc>
        <w:tc>
          <w:tcPr>
            <w:tcW w:w="435" w:type="dxa"/>
          </w:tcPr>
          <w:p w:rsidR="004B32A4" w:rsidRPr="00503052" w:rsidRDefault="004B32A4" w:rsidP="004B32A4">
            <w:pPr>
              <w:spacing w:line="360" w:lineRule="auto"/>
              <w:rPr>
                <w:rFonts w:ascii="Times New Roman" w:hAnsi="Times New Roman" w:cs="Times New Roman"/>
                <w:vertAlign w:val="subscript"/>
              </w:rPr>
            </w:pPr>
          </w:p>
        </w:tc>
        <w:tc>
          <w:tcPr>
            <w:tcW w:w="567" w:type="dxa"/>
            <w:shd w:val="clear" w:color="auto" w:fill="A8D08D" w:themeFill="accent6" w:themeFillTint="99"/>
          </w:tcPr>
          <w:p w:rsidR="004B32A4" w:rsidRPr="00503052" w:rsidRDefault="004B32A4" w:rsidP="004B32A4">
            <w:pPr>
              <w:spacing w:line="360" w:lineRule="auto"/>
              <w:rPr>
                <w:rFonts w:ascii="Times New Roman" w:hAnsi="Times New Roman" w:cs="Times New Roman"/>
                <w:vertAlign w:val="subscript"/>
              </w:rPr>
            </w:pPr>
          </w:p>
        </w:tc>
        <w:tc>
          <w:tcPr>
            <w:tcW w:w="567" w:type="dxa"/>
            <w:tcBorders>
              <w:bottom w:val="single" w:sz="4" w:space="0" w:color="auto"/>
            </w:tcBorders>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709" w:type="dxa"/>
          </w:tcPr>
          <w:p w:rsidR="004B32A4" w:rsidRPr="00503052" w:rsidRDefault="004B32A4" w:rsidP="004B32A4">
            <w:pPr>
              <w:spacing w:line="360" w:lineRule="auto"/>
              <w:rPr>
                <w:rFonts w:ascii="Times New Roman" w:hAnsi="Times New Roman" w:cs="Times New Roman"/>
                <w:vertAlign w:val="subscript"/>
              </w:rPr>
            </w:pPr>
          </w:p>
        </w:tc>
        <w:tc>
          <w:tcPr>
            <w:tcW w:w="592" w:type="dxa"/>
          </w:tcPr>
          <w:p w:rsidR="004B32A4" w:rsidRPr="00503052" w:rsidRDefault="004B32A4" w:rsidP="004B32A4">
            <w:pPr>
              <w:spacing w:line="360" w:lineRule="auto"/>
              <w:rPr>
                <w:rFonts w:ascii="Times New Roman" w:hAnsi="Times New Roman" w:cs="Times New Roman"/>
                <w:vertAlign w:val="subscript"/>
              </w:rPr>
            </w:pPr>
          </w:p>
        </w:tc>
      </w:tr>
      <w:tr w:rsidR="004B32A4" w:rsidTr="006B0380">
        <w:tc>
          <w:tcPr>
            <w:tcW w:w="4106" w:type="dxa"/>
          </w:tcPr>
          <w:p w:rsidR="004B32A4" w:rsidRPr="00503052" w:rsidRDefault="004B32A4" w:rsidP="004B32A4">
            <w:pPr>
              <w:spacing w:line="360" w:lineRule="auto"/>
              <w:rPr>
                <w:rFonts w:ascii="Times New Roman" w:hAnsi="Times New Roman" w:cs="Times New Roman"/>
                <w:vertAlign w:val="subscript"/>
              </w:rPr>
            </w:pPr>
            <w:r w:rsidRPr="00503052">
              <w:rPr>
                <w:rFonts w:ascii="Times New Roman" w:hAnsi="Times New Roman" w:cs="Times New Roman"/>
                <w:vertAlign w:val="subscript"/>
              </w:rPr>
              <w:t>3.4 Two days workshop</w:t>
            </w:r>
          </w:p>
        </w:tc>
        <w:tc>
          <w:tcPr>
            <w:tcW w:w="709" w:type="dxa"/>
          </w:tcPr>
          <w:p w:rsidR="004B32A4" w:rsidRPr="00503052" w:rsidRDefault="004B32A4" w:rsidP="004B32A4">
            <w:pPr>
              <w:rPr>
                <w:rFonts w:ascii="Times New Roman" w:hAnsi="Times New Roman" w:cs="Times New Roman"/>
              </w:rPr>
            </w:pPr>
            <w:r w:rsidRPr="00503052">
              <w:rPr>
                <w:rFonts w:ascii="Times New Roman" w:hAnsi="Times New Roman" w:cs="Times New Roman"/>
                <w:vertAlign w:val="subscript"/>
              </w:rPr>
              <w:t>2023</w:t>
            </w: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57" w:type="dxa"/>
          </w:tcPr>
          <w:p w:rsidR="004B32A4" w:rsidRPr="00503052" w:rsidRDefault="004B32A4" w:rsidP="004B32A4">
            <w:pPr>
              <w:spacing w:line="360" w:lineRule="auto"/>
              <w:rPr>
                <w:rFonts w:ascii="Times New Roman" w:hAnsi="Times New Roman" w:cs="Times New Roman"/>
                <w:vertAlign w:val="subscript"/>
              </w:rPr>
            </w:pPr>
          </w:p>
        </w:tc>
        <w:tc>
          <w:tcPr>
            <w:tcW w:w="435"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shd w:val="clear" w:color="auto" w:fill="A8D08D" w:themeFill="accent6" w:themeFillTint="99"/>
          </w:tcPr>
          <w:p w:rsidR="004B32A4" w:rsidRPr="00503052" w:rsidRDefault="004B32A4" w:rsidP="004B32A4">
            <w:pPr>
              <w:spacing w:line="360" w:lineRule="auto"/>
              <w:rPr>
                <w:rFonts w:ascii="Times New Roman" w:hAnsi="Times New Roman" w:cs="Times New Roman"/>
                <w:vertAlign w:val="subscript"/>
              </w:rPr>
            </w:pPr>
          </w:p>
        </w:tc>
        <w:tc>
          <w:tcPr>
            <w:tcW w:w="567" w:type="dxa"/>
            <w:tcBorders>
              <w:bottom w:val="single" w:sz="4" w:space="0" w:color="auto"/>
            </w:tcBorders>
          </w:tcPr>
          <w:p w:rsidR="004B32A4" w:rsidRPr="00503052" w:rsidRDefault="004B32A4" w:rsidP="004B32A4">
            <w:pPr>
              <w:spacing w:line="360" w:lineRule="auto"/>
              <w:rPr>
                <w:rFonts w:ascii="Times New Roman" w:hAnsi="Times New Roman" w:cs="Times New Roman"/>
                <w:vertAlign w:val="subscript"/>
              </w:rPr>
            </w:pPr>
          </w:p>
        </w:tc>
        <w:tc>
          <w:tcPr>
            <w:tcW w:w="567" w:type="dxa"/>
            <w:tcBorders>
              <w:bottom w:val="single" w:sz="4" w:space="0" w:color="auto"/>
            </w:tcBorders>
          </w:tcPr>
          <w:p w:rsidR="004B32A4" w:rsidRPr="00503052" w:rsidRDefault="004B32A4" w:rsidP="004B32A4">
            <w:pPr>
              <w:spacing w:line="360" w:lineRule="auto"/>
              <w:rPr>
                <w:rFonts w:ascii="Times New Roman" w:hAnsi="Times New Roman" w:cs="Times New Roman"/>
                <w:vertAlign w:val="subscript"/>
              </w:rPr>
            </w:pPr>
          </w:p>
        </w:tc>
        <w:tc>
          <w:tcPr>
            <w:tcW w:w="567" w:type="dxa"/>
            <w:tcBorders>
              <w:bottom w:val="single" w:sz="4" w:space="0" w:color="auto"/>
            </w:tcBorders>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709" w:type="dxa"/>
          </w:tcPr>
          <w:p w:rsidR="004B32A4" w:rsidRPr="00503052" w:rsidRDefault="004B32A4" w:rsidP="004B32A4">
            <w:pPr>
              <w:spacing w:line="360" w:lineRule="auto"/>
              <w:rPr>
                <w:rFonts w:ascii="Times New Roman" w:hAnsi="Times New Roman" w:cs="Times New Roman"/>
                <w:vertAlign w:val="subscript"/>
              </w:rPr>
            </w:pPr>
          </w:p>
        </w:tc>
        <w:tc>
          <w:tcPr>
            <w:tcW w:w="592" w:type="dxa"/>
          </w:tcPr>
          <w:p w:rsidR="004B32A4" w:rsidRPr="00503052" w:rsidRDefault="004B32A4" w:rsidP="004B32A4">
            <w:pPr>
              <w:spacing w:line="360" w:lineRule="auto"/>
              <w:rPr>
                <w:rFonts w:ascii="Times New Roman" w:hAnsi="Times New Roman" w:cs="Times New Roman"/>
                <w:vertAlign w:val="subscript"/>
              </w:rPr>
            </w:pPr>
          </w:p>
        </w:tc>
      </w:tr>
      <w:tr w:rsidR="004B32A4" w:rsidTr="006B0380">
        <w:tc>
          <w:tcPr>
            <w:tcW w:w="4106" w:type="dxa"/>
          </w:tcPr>
          <w:p w:rsidR="004B32A4" w:rsidRPr="00503052" w:rsidRDefault="004B32A4" w:rsidP="004B32A4">
            <w:pPr>
              <w:spacing w:line="360" w:lineRule="auto"/>
              <w:rPr>
                <w:rFonts w:ascii="Times New Roman" w:hAnsi="Times New Roman" w:cs="Times New Roman"/>
                <w:vertAlign w:val="subscript"/>
              </w:rPr>
            </w:pPr>
            <w:r w:rsidRPr="00503052">
              <w:rPr>
                <w:rFonts w:ascii="Times New Roman" w:hAnsi="Times New Roman" w:cs="Times New Roman"/>
                <w:vertAlign w:val="subscript"/>
              </w:rPr>
              <w:t xml:space="preserve">4.1 Outpatient microtraining workshop and material </w:t>
            </w:r>
            <w:r w:rsidR="004D7FE3" w:rsidRPr="00503052">
              <w:rPr>
                <w:rFonts w:ascii="Times New Roman" w:hAnsi="Times New Roman" w:cs="Times New Roman"/>
                <w:vertAlign w:val="subscript"/>
              </w:rPr>
              <w:t>development</w:t>
            </w:r>
          </w:p>
        </w:tc>
        <w:tc>
          <w:tcPr>
            <w:tcW w:w="709" w:type="dxa"/>
          </w:tcPr>
          <w:p w:rsidR="004B32A4" w:rsidRPr="00503052" w:rsidRDefault="004B32A4" w:rsidP="004B32A4">
            <w:pPr>
              <w:rPr>
                <w:rFonts w:ascii="Times New Roman" w:hAnsi="Times New Roman" w:cs="Times New Roman"/>
              </w:rPr>
            </w:pPr>
            <w:r w:rsidRPr="00503052">
              <w:rPr>
                <w:rFonts w:ascii="Times New Roman" w:hAnsi="Times New Roman" w:cs="Times New Roman"/>
                <w:vertAlign w:val="subscript"/>
              </w:rPr>
              <w:t>2023</w:t>
            </w: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57" w:type="dxa"/>
          </w:tcPr>
          <w:p w:rsidR="004B32A4" w:rsidRPr="00503052" w:rsidRDefault="004B32A4" w:rsidP="004B32A4">
            <w:pPr>
              <w:spacing w:line="360" w:lineRule="auto"/>
              <w:rPr>
                <w:rFonts w:ascii="Times New Roman" w:hAnsi="Times New Roman" w:cs="Times New Roman"/>
                <w:vertAlign w:val="subscript"/>
              </w:rPr>
            </w:pPr>
          </w:p>
        </w:tc>
        <w:tc>
          <w:tcPr>
            <w:tcW w:w="435"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shd w:val="clear" w:color="auto" w:fill="F4B083" w:themeFill="accent2" w:themeFillTint="99"/>
          </w:tcPr>
          <w:p w:rsidR="004B32A4" w:rsidRPr="00503052" w:rsidRDefault="004B32A4" w:rsidP="004B32A4">
            <w:pPr>
              <w:spacing w:line="360" w:lineRule="auto"/>
              <w:rPr>
                <w:rFonts w:ascii="Times New Roman" w:hAnsi="Times New Roman" w:cs="Times New Roman"/>
                <w:vertAlign w:val="subscript"/>
              </w:rPr>
            </w:pPr>
          </w:p>
        </w:tc>
        <w:tc>
          <w:tcPr>
            <w:tcW w:w="567" w:type="dxa"/>
            <w:tcBorders>
              <w:bottom w:val="single" w:sz="4" w:space="0" w:color="auto"/>
            </w:tcBorders>
            <w:shd w:val="clear" w:color="auto" w:fill="F4B083" w:themeFill="accent2" w:themeFillTint="99"/>
          </w:tcPr>
          <w:p w:rsidR="004B32A4" w:rsidRPr="00503052" w:rsidRDefault="004B32A4" w:rsidP="004B32A4">
            <w:pPr>
              <w:spacing w:line="360" w:lineRule="auto"/>
              <w:rPr>
                <w:rFonts w:ascii="Times New Roman" w:hAnsi="Times New Roman" w:cs="Times New Roman"/>
                <w:vertAlign w:val="subscript"/>
              </w:rPr>
            </w:pPr>
          </w:p>
        </w:tc>
        <w:tc>
          <w:tcPr>
            <w:tcW w:w="567" w:type="dxa"/>
            <w:tcBorders>
              <w:bottom w:val="single" w:sz="4" w:space="0" w:color="auto"/>
            </w:tcBorders>
            <w:shd w:val="clear" w:color="auto" w:fill="F4B083" w:themeFill="accent2" w:themeFillTint="99"/>
          </w:tcPr>
          <w:p w:rsidR="004B32A4" w:rsidRPr="00503052" w:rsidRDefault="004B32A4" w:rsidP="004B32A4">
            <w:pPr>
              <w:spacing w:line="360" w:lineRule="auto"/>
              <w:rPr>
                <w:rFonts w:ascii="Times New Roman" w:hAnsi="Times New Roman" w:cs="Times New Roman"/>
                <w:vertAlign w:val="subscript"/>
              </w:rPr>
            </w:pPr>
          </w:p>
        </w:tc>
        <w:tc>
          <w:tcPr>
            <w:tcW w:w="567" w:type="dxa"/>
            <w:tcBorders>
              <w:bottom w:val="single" w:sz="4" w:space="0" w:color="auto"/>
            </w:tcBorders>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709" w:type="dxa"/>
          </w:tcPr>
          <w:p w:rsidR="004B32A4" w:rsidRPr="00503052" w:rsidRDefault="004B32A4" w:rsidP="004B32A4">
            <w:pPr>
              <w:spacing w:line="360" w:lineRule="auto"/>
              <w:rPr>
                <w:rFonts w:ascii="Times New Roman" w:hAnsi="Times New Roman" w:cs="Times New Roman"/>
                <w:vertAlign w:val="subscript"/>
              </w:rPr>
            </w:pPr>
          </w:p>
        </w:tc>
        <w:tc>
          <w:tcPr>
            <w:tcW w:w="592" w:type="dxa"/>
          </w:tcPr>
          <w:p w:rsidR="004B32A4" w:rsidRPr="00503052" w:rsidRDefault="004B32A4" w:rsidP="004B32A4">
            <w:pPr>
              <w:spacing w:line="360" w:lineRule="auto"/>
              <w:rPr>
                <w:rFonts w:ascii="Times New Roman" w:hAnsi="Times New Roman" w:cs="Times New Roman"/>
                <w:vertAlign w:val="subscript"/>
              </w:rPr>
            </w:pPr>
          </w:p>
        </w:tc>
      </w:tr>
      <w:tr w:rsidR="004B32A4" w:rsidTr="006B0380">
        <w:tc>
          <w:tcPr>
            <w:tcW w:w="4106" w:type="dxa"/>
          </w:tcPr>
          <w:p w:rsidR="004B32A4" w:rsidRPr="00503052" w:rsidRDefault="004B32A4" w:rsidP="004B32A4">
            <w:pPr>
              <w:spacing w:line="360" w:lineRule="auto"/>
              <w:rPr>
                <w:rFonts w:ascii="Times New Roman" w:hAnsi="Times New Roman" w:cs="Times New Roman"/>
                <w:vertAlign w:val="subscript"/>
              </w:rPr>
            </w:pPr>
            <w:r w:rsidRPr="00503052">
              <w:rPr>
                <w:rFonts w:ascii="Times New Roman" w:hAnsi="Times New Roman" w:cs="Times New Roman"/>
                <w:vertAlign w:val="subscript"/>
              </w:rPr>
              <w:t xml:space="preserve">4.2 MCH microtraining workshop and material </w:t>
            </w:r>
            <w:r w:rsidR="004D7FE3" w:rsidRPr="00503052">
              <w:rPr>
                <w:rFonts w:ascii="Times New Roman" w:hAnsi="Times New Roman" w:cs="Times New Roman"/>
                <w:vertAlign w:val="subscript"/>
              </w:rPr>
              <w:t>development</w:t>
            </w:r>
          </w:p>
        </w:tc>
        <w:tc>
          <w:tcPr>
            <w:tcW w:w="709" w:type="dxa"/>
          </w:tcPr>
          <w:p w:rsidR="004B32A4" w:rsidRPr="00503052" w:rsidRDefault="004B32A4" w:rsidP="004B32A4">
            <w:pPr>
              <w:rPr>
                <w:rFonts w:ascii="Times New Roman" w:hAnsi="Times New Roman" w:cs="Times New Roman"/>
              </w:rPr>
            </w:pPr>
            <w:r w:rsidRPr="00503052">
              <w:rPr>
                <w:rFonts w:ascii="Times New Roman" w:hAnsi="Times New Roman" w:cs="Times New Roman"/>
                <w:vertAlign w:val="subscript"/>
              </w:rPr>
              <w:t>2023</w:t>
            </w: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57" w:type="dxa"/>
          </w:tcPr>
          <w:p w:rsidR="004B32A4" w:rsidRPr="00503052" w:rsidRDefault="004B32A4" w:rsidP="004B32A4">
            <w:pPr>
              <w:spacing w:line="360" w:lineRule="auto"/>
              <w:rPr>
                <w:rFonts w:ascii="Times New Roman" w:hAnsi="Times New Roman" w:cs="Times New Roman"/>
                <w:vertAlign w:val="subscript"/>
              </w:rPr>
            </w:pPr>
          </w:p>
        </w:tc>
        <w:tc>
          <w:tcPr>
            <w:tcW w:w="435"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shd w:val="clear" w:color="auto" w:fill="F4B083" w:themeFill="accent2" w:themeFillTint="99"/>
          </w:tcPr>
          <w:p w:rsidR="004B32A4" w:rsidRPr="00503052" w:rsidRDefault="004B32A4" w:rsidP="004B32A4">
            <w:pPr>
              <w:spacing w:line="360" w:lineRule="auto"/>
              <w:rPr>
                <w:rFonts w:ascii="Times New Roman" w:hAnsi="Times New Roman" w:cs="Times New Roman"/>
                <w:vertAlign w:val="subscript"/>
              </w:rPr>
            </w:pPr>
          </w:p>
        </w:tc>
        <w:tc>
          <w:tcPr>
            <w:tcW w:w="567" w:type="dxa"/>
            <w:tcBorders>
              <w:bottom w:val="single" w:sz="4" w:space="0" w:color="auto"/>
            </w:tcBorders>
            <w:shd w:val="clear" w:color="auto" w:fill="F4B083" w:themeFill="accent2" w:themeFillTint="99"/>
          </w:tcPr>
          <w:p w:rsidR="004B32A4" w:rsidRPr="00503052" w:rsidRDefault="004B32A4" w:rsidP="004B32A4">
            <w:pPr>
              <w:spacing w:line="360" w:lineRule="auto"/>
              <w:rPr>
                <w:rFonts w:ascii="Times New Roman" w:hAnsi="Times New Roman" w:cs="Times New Roman"/>
                <w:vertAlign w:val="subscript"/>
              </w:rPr>
            </w:pPr>
          </w:p>
        </w:tc>
        <w:tc>
          <w:tcPr>
            <w:tcW w:w="567" w:type="dxa"/>
            <w:tcBorders>
              <w:bottom w:val="single" w:sz="4" w:space="0" w:color="auto"/>
            </w:tcBorders>
            <w:shd w:val="clear" w:color="auto" w:fill="F4B083" w:themeFill="accent2" w:themeFillTint="99"/>
          </w:tcPr>
          <w:p w:rsidR="004B32A4" w:rsidRPr="00503052" w:rsidRDefault="004B32A4" w:rsidP="004B32A4">
            <w:pPr>
              <w:spacing w:line="360" w:lineRule="auto"/>
              <w:rPr>
                <w:rFonts w:ascii="Times New Roman" w:hAnsi="Times New Roman" w:cs="Times New Roman"/>
                <w:vertAlign w:val="subscript"/>
              </w:rPr>
            </w:pPr>
          </w:p>
        </w:tc>
        <w:tc>
          <w:tcPr>
            <w:tcW w:w="567" w:type="dxa"/>
            <w:tcBorders>
              <w:bottom w:val="single" w:sz="4" w:space="0" w:color="auto"/>
            </w:tcBorders>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709" w:type="dxa"/>
          </w:tcPr>
          <w:p w:rsidR="004B32A4" w:rsidRPr="00503052" w:rsidRDefault="004B32A4" w:rsidP="004B32A4">
            <w:pPr>
              <w:spacing w:line="360" w:lineRule="auto"/>
              <w:rPr>
                <w:rFonts w:ascii="Times New Roman" w:hAnsi="Times New Roman" w:cs="Times New Roman"/>
                <w:vertAlign w:val="subscript"/>
              </w:rPr>
            </w:pPr>
          </w:p>
        </w:tc>
        <w:tc>
          <w:tcPr>
            <w:tcW w:w="592" w:type="dxa"/>
          </w:tcPr>
          <w:p w:rsidR="004B32A4" w:rsidRPr="00503052" w:rsidRDefault="004B32A4" w:rsidP="004B32A4">
            <w:pPr>
              <w:spacing w:line="360" w:lineRule="auto"/>
              <w:rPr>
                <w:rFonts w:ascii="Times New Roman" w:hAnsi="Times New Roman" w:cs="Times New Roman"/>
                <w:vertAlign w:val="subscript"/>
              </w:rPr>
            </w:pPr>
          </w:p>
        </w:tc>
      </w:tr>
      <w:tr w:rsidR="004B32A4" w:rsidTr="006B0380">
        <w:tc>
          <w:tcPr>
            <w:tcW w:w="4106" w:type="dxa"/>
          </w:tcPr>
          <w:p w:rsidR="004B32A4" w:rsidRPr="00503052" w:rsidRDefault="004B32A4" w:rsidP="004B32A4">
            <w:pPr>
              <w:spacing w:line="360" w:lineRule="auto"/>
              <w:rPr>
                <w:rFonts w:ascii="Times New Roman" w:hAnsi="Times New Roman" w:cs="Times New Roman"/>
                <w:vertAlign w:val="subscript"/>
              </w:rPr>
            </w:pPr>
            <w:r w:rsidRPr="00503052">
              <w:rPr>
                <w:rFonts w:ascii="Times New Roman" w:hAnsi="Times New Roman" w:cs="Times New Roman"/>
                <w:vertAlign w:val="subscript"/>
              </w:rPr>
              <w:t xml:space="preserve">4.3 Allied Health microtraining workshop and material </w:t>
            </w:r>
            <w:r w:rsidR="004D7FE3" w:rsidRPr="00503052">
              <w:rPr>
                <w:rFonts w:ascii="Times New Roman" w:hAnsi="Times New Roman" w:cs="Times New Roman"/>
                <w:vertAlign w:val="subscript"/>
              </w:rPr>
              <w:t>development</w:t>
            </w:r>
          </w:p>
        </w:tc>
        <w:tc>
          <w:tcPr>
            <w:tcW w:w="709" w:type="dxa"/>
          </w:tcPr>
          <w:p w:rsidR="004B32A4" w:rsidRPr="00503052" w:rsidRDefault="004B32A4" w:rsidP="004B32A4">
            <w:pPr>
              <w:rPr>
                <w:rFonts w:ascii="Times New Roman" w:hAnsi="Times New Roman" w:cs="Times New Roman"/>
              </w:rPr>
            </w:pPr>
            <w:r w:rsidRPr="00503052">
              <w:rPr>
                <w:rFonts w:ascii="Times New Roman" w:hAnsi="Times New Roman" w:cs="Times New Roman"/>
                <w:vertAlign w:val="subscript"/>
              </w:rPr>
              <w:t>2023</w:t>
            </w: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57" w:type="dxa"/>
          </w:tcPr>
          <w:p w:rsidR="004B32A4" w:rsidRPr="00503052" w:rsidRDefault="004B32A4" w:rsidP="004B32A4">
            <w:pPr>
              <w:spacing w:line="360" w:lineRule="auto"/>
              <w:rPr>
                <w:rFonts w:ascii="Times New Roman" w:hAnsi="Times New Roman" w:cs="Times New Roman"/>
                <w:vertAlign w:val="subscript"/>
              </w:rPr>
            </w:pPr>
          </w:p>
        </w:tc>
        <w:tc>
          <w:tcPr>
            <w:tcW w:w="435"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shd w:val="clear" w:color="auto" w:fill="F4B083" w:themeFill="accent2" w:themeFillTint="99"/>
          </w:tcPr>
          <w:p w:rsidR="004B32A4" w:rsidRPr="00503052" w:rsidRDefault="004B32A4" w:rsidP="004B32A4">
            <w:pPr>
              <w:spacing w:line="360" w:lineRule="auto"/>
              <w:rPr>
                <w:rFonts w:ascii="Times New Roman" w:hAnsi="Times New Roman" w:cs="Times New Roman"/>
                <w:vertAlign w:val="subscript"/>
              </w:rPr>
            </w:pPr>
          </w:p>
        </w:tc>
        <w:tc>
          <w:tcPr>
            <w:tcW w:w="567" w:type="dxa"/>
            <w:shd w:val="clear" w:color="auto" w:fill="F4B083" w:themeFill="accent2" w:themeFillTint="99"/>
          </w:tcPr>
          <w:p w:rsidR="004B32A4" w:rsidRPr="00503052" w:rsidRDefault="004B32A4" w:rsidP="004B32A4">
            <w:pPr>
              <w:spacing w:line="360" w:lineRule="auto"/>
              <w:rPr>
                <w:rFonts w:ascii="Times New Roman" w:hAnsi="Times New Roman" w:cs="Times New Roman"/>
                <w:vertAlign w:val="subscript"/>
              </w:rPr>
            </w:pPr>
          </w:p>
        </w:tc>
        <w:tc>
          <w:tcPr>
            <w:tcW w:w="567" w:type="dxa"/>
            <w:shd w:val="clear" w:color="auto" w:fill="F4B083" w:themeFill="accent2" w:themeFillTint="99"/>
          </w:tcPr>
          <w:p w:rsidR="004B32A4" w:rsidRPr="00503052" w:rsidRDefault="004B32A4" w:rsidP="004B32A4">
            <w:pPr>
              <w:spacing w:line="360" w:lineRule="auto"/>
              <w:rPr>
                <w:rFonts w:ascii="Times New Roman" w:hAnsi="Times New Roman" w:cs="Times New Roman"/>
                <w:vertAlign w:val="subscript"/>
              </w:rPr>
            </w:pPr>
          </w:p>
        </w:tc>
        <w:tc>
          <w:tcPr>
            <w:tcW w:w="567" w:type="dxa"/>
            <w:tcBorders>
              <w:bottom w:val="single" w:sz="4" w:space="0" w:color="auto"/>
            </w:tcBorders>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709" w:type="dxa"/>
          </w:tcPr>
          <w:p w:rsidR="004B32A4" w:rsidRPr="00503052" w:rsidRDefault="004B32A4" w:rsidP="004B32A4">
            <w:pPr>
              <w:spacing w:line="360" w:lineRule="auto"/>
              <w:rPr>
                <w:rFonts w:ascii="Times New Roman" w:hAnsi="Times New Roman" w:cs="Times New Roman"/>
                <w:vertAlign w:val="subscript"/>
              </w:rPr>
            </w:pPr>
          </w:p>
        </w:tc>
        <w:tc>
          <w:tcPr>
            <w:tcW w:w="592" w:type="dxa"/>
          </w:tcPr>
          <w:p w:rsidR="004B32A4" w:rsidRPr="00503052" w:rsidRDefault="004B32A4" w:rsidP="004B32A4">
            <w:pPr>
              <w:spacing w:line="360" w:lineRule="auto"/>
              <w:rPr>
                <w:rFonts w:ascii="Times New Roman" w:hAnsi="Times New Roman" w:cs="Times New Roman"/>
                <w:vertAlign w:val="subscript"/>
              </w:rPr>
            </w:pPr>
          </w:p>
        </w:tc>
      </w:tr>
      <w:tr w:rsidR="004B32A4" w:rsidTr="006B0380">
        <w:tc>
          <w:tcPr>
            <w:tcW w:w="4106" w:type="dxa"/>
          </w:tcPr>
          <w:p w:rsidR="004B32A4" w:rsidRPr="00503052" w:rsidRDefault="004B32A4" w:rsidP="004B32A4">
            <w:pPr>
              <w:spacing w:line="360" w:lineRule="auto"/>
              <w:rPr>
                <w:rFonts w:ascii="Times New Roman" w:hAnsi="Times New Roman" w:cs="Times New Roman"/>
                <w:vertAlign w:val="subscript"/>
              </w:rPr>
            </w:pPr>
            <w:r w:rsidRPr="00503052">
              <w:rPr>
                <w:rFonts w:ascii="Times New Roman" w:hAnsi="Times New Roman" w:cs="Times New Roman"/>
                <w:vertAlign w:val="subscript"/>
              </w:rPr>
              <w:t>5.0 Officiating TPC-OHCIS User Training Modules website</w:t>
            </w:r>
          </w:p>
        </w:tc>
        <w:tc>
          <w:tcPr>
            <w:tcW w:w="709" w:type="dxa"/>
          </w:tcPr>
          <w:p w:rsidR="004B32A4" w:rsidRPr="00503052" w:rsidRDefault="004B32A4" w:rsidP="004B32A4">
            <w:pPr>
              <w:rPr>
                <w:rFonts w:ascii="Times New Roman" w:hAnsi="Times New Roman" w:cs="Times New Roman"/>
              </w:rPr>
            </w:pPr>
            <w:r w:rsidRPr="00503052">
              <w:rPr>
                <w:rFonts w:ascii="Times New Roman" w:hAnsi="Times New Roman" w:cs="Times New Roman"/>
                <w:vertAlign w:val="subscript"/>
              </w:rPr>
              <w:t>2023</w:t>
            </w: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57" w:type="dxa"/>
          </w:tcPr>
          <w:p w:rsidR="004B32A4" w:rsidRPr="00503052" w:rsidRDefault="004B32A4" w:rsidP="004B32A4">
            <w:pPr>
              <w:spacing w:line="360" w:lineRule="auto"/>
              <w:rPr>
                <w:rFonts w:ascii="Times New Roman" w:hAnsi="Times New Roman" w:cs="Times New Roman"/>
                <w:vertAlign w:val="subscript"/>
              </w:rPr>
            </w:pPr>
          </w:p>
        </w:tc>
        <w:tc>
          <w:tcPr>
            <w:tcW w:w="435"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shd w:val="clear" w:color="auto" w:fill="F4B083" w:themeFill="accent2" w:themeFillTint="99"/>
          </w:tcPr>
          <w:p w:rsidR="004B32A4" w:rsidRPr="00503052" w:rsidRDefault="004B32A4" w:rsidP="004B32A4">
            <w:pPr>
              <w:spacing w:line="360" w:lineRule="auto"/>
              <w:rPr>
                <w:rFonts w:ascii="Times New Roman" w:hAnsi="Times New Roman" w:cs="Times New Roman"/>
                <w:vertAlign w:val="subscript"/>
              </w:rPr>
            </w:pPr>
          </w:p>
        </w:tc>
        <w:tc>
          <w:tcPr>
            <w:tcW w:w="567" w:type="dxa"/>
            <w:tcBorders>
              <w:bottom w:val="single" w:sz="4" w:space="0" w:color="auto"/>
            </w:tcBorders>
          </w:tcPr>
          <w:p w:rsidR="004B32A4" w:rsidRPr="00503052" w:rsidRDefault="004B32A4" w:rsidP="004B32A4">
            <w:pPr>
              <w:spacing w:line="360" w:lineRule="auto"/>
              <w:rPr>
                <w:rFonts w:ascii="Times New Roman" w:hAnsi="Times New Roman" w:cs="Times New Roman"/>
                <w:vertAlign w:val="subscript"/>
              </w:rPr>
            </w:pPr>
          </w:p>
        </w:tc>
        <w:tc>
          <w:tcPr>
            <w:tcW w:w="709" w:type="dxa"/>
            <w:tcBorders>
              <w:bottom w:val="single" w:sz="4" w:space="0" w:color="auto"/>
            </w:tcBorders>
          </w:tcPr>
          <w:p w:rsidR="004B32A4" w:rsidRPr="00503052" w:rsidRDefault="004B32A4" w:rsidP="004B32A4">
            <w:pPr>
              <w:spacing w:line="360" w:lineRule="auto"/>
              <w:rPr>
                <w:rFonts w:ascii="Times New Roman" w:hAnsi="Times New Roman" w:cs="Times New Roman"/>
                <w:vertAlign w:val="subscript"/>
              </w:rPr>
            </w:pPr>
          </w:p>
        </w:tc>
        <w:tc>
          <w:tcPr>
            <w:tcW w:w="592" w:type="dxa"/>
            <w:tcBorders>
              <w:bottom w:val="single" w:sz="4" w:space="0" w:color="auto"/>
            </w:tcBorders>
          </w:tcPr>
          <w:p w:rsidR="004B32A4" w:rsidRPr="00503052" w:rsidRDefault="004B32A4" w:rsidP="004B32A4">
            <w:pPr>
              <w:spacing w:line="360" w:lineRule="auto"/>
              <w:rPr>
                <w:rFonts w:ascii="Times New Roman" w:hAnsi="Times New Roman" w:cs="Times New Roman"/>
                <w:vertAlign w:val="subscript"/>
              </w:rPr>
            </w:pPr>
          </w:p>
        </w:tc>
      </w:tr>
      <w:tr w:rsidR="004B32A4" w:rsidTr="006B0380">
        <w:tc>
          <w:tcPr>
            <w:tcW w:w="4106" w:type="dxa"/>
          </w:tcPr>
          <w:p w:rsidR="004B32A4" w:rsidRPr="00503052" w:rsidRDefault="004B32A4" w:rsidP="004B32A4">
            <w:pPr>
              <w:spacing w:line="360" w:lineRule="auto"/>
              <w:rPr>
                <w:rFonts w:ascii="Times New Roman" w:hAnsi="Times New Roman" w:cs="Times New Roman"/>
                <w:vertAlign w:val="subscript"/>
              </w:rPr>
            </w:pPr>
            <w:r w:rsidRPr="00503052">
              <w:rPr>
                <w:rFonts w:ascii="Times New Roman" w:hAnsi="Times New Roman" w:cs="Times New Roman"/>
                <w:vertAlign w:val="subscript"/>
              </w:rPr>
              <w:t>6.0 Use of TPCOHCIS user training modules</w:t>
            </w:r>
          </w:p>
        </w:tc>
        <w:tc>
          <w:tcPr>
            <w:tcW w:w="709" w:type="dxa"/>
          </w:tcPr>
          <w:p w:rsidR="004B32A4" w:rsidRPr="00503052" w:rsidRDefault="004B32A4" w:rsidP="004B32A4">
            <w:pPr>
              <w:rPr>
                <w:rFonts w:ascii="Times New Roman" w:hAnsi="Times New Roman" w:cs="Times New Roman"/>
              </w:rPr>
            </w:pPr>
            <w:r w:rsidRPr="00503052">
              <w:rPr>
                <w:rFonts w:ascii="Times New Roman" w:hAnsi="Times New Roman" w:cs="Times New Roman"/>
                <w:vertAlign w:val="subscript"/>
              </w:rPr>
              <w:t>2023</w:t>
            </w: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57" w:type="dxa"/>
          </w:tcPr>
          <w:p w:rsidR="004B32A4" w:rsidRPr="00503052" w:rsidRDefault="004B32A4" w:rsidP="004B32A4">
            <w:pPr>
              <w:spacing w:line="360" w:lineRule="auto"/>
              <w:rPr>
                <w:rFonts w:ascii="Times New Roman" w:hAnsi="Times New Roman" w:cs="Times New Roman"/>
                <w:vertAlign w:val="subscript"/>
              </w:rPr>
            </w:pPr>
          </w:p>
        </w:tc>
        <w:tc>
          <w:tcPr>
            <w:tcW w:w="435"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tcPr>
          <w:p w:rsidR="004B32A4" w:rsidRPr="00503052" w:rsidRDefault="004B32A4" w:rsidP="004B32A4">
            <w:pPr>
              <w:spacing w:line="360" w:lineRule="auto"/>
              <w:rPr>
                <w:rFonts w:ascii="Times New Roman" w:hAnsi="Times New Roman" w:cs="Times New Roman"/>
                <w:vertAlign w:val="subscript"/>
              </w:rPr>
            </w:pPr>
          </w:p>
        </w:tc>
        <w:tc>
          <w:tcPr>
            <w:tcW w:w="567" w:type="dxa"/>
            <w:shd w:val="clear" w:color="auto" w:fill="F4B083" w:themeFill="accent2" w:themeFillTint="99"/>
          </w:tcPr>
          <w:p w:rsidR="004B32A4" w:rsidRPr="00503052" w:rsidRDefault="004B32A4" w:rsidP="004B32A4">
            <w:pPr>
              <w:spacing w:line="360" w:lineRule="auto"/>
              <w:rPr>
                <w:rFonts w:ascii="Times New Roman" w:hAnsi="Times New Roman" w:cs="Times New Roman"/>
                <w:vertAlign w:val="subscript"/>
              </w:rPr>
            </w:pPr>
          </w:p>
        </w:tc>
        <w:tc>
          <w:tcPr>
            <w:tcW w:w="709" w:type="dxa"/>
            <w:shd w:val="clear" w:color="auto" w:fill="F4B083" w:themeFill="accent2" w:themeFillTint="99"/>
          </w:tcPr>
          <w:p w:rsidR="004B32A4" w:rsidRPr="00503052" w:rsidRDefault="004B32A4" w:rsidP="004B32A4">
            <w:pPr>
              <w:spacing w:line="360" w:lineRule="auto"/>
              <w:rPr>
                <w:rFonts w:ascii="Times New Roman" w:hAnsi="Times New Roman" w:cs="Times New Roman"/>
                <w:vertAlign w:val="subscript"/>
              </w:rPr>
            </w:pPr>
          </w:p>
        </w:tc>
        <w:tc>
          <w:tcPr>
            <w:tcW w:w="592" w:type="dxa"/>
            <w:shd w:val="clear" w:color="auto" w:fill="F4B083" w:themeFill="accent2" w:themeFillTint="99"/>
          </w:tcPr>
          <w:p w:rsidR="004B32A4" w:rsidRPr="00503052" w:rsidRDefault="004B32A4" w:rsidP="004B32A4">
            <w:pPr>
              <w:spacing w:line="360" w:lineRule="auto"/>
              <w:rPr>
                <w:rFonts w:ascii="Times New Roman" w:hAnsi="Times New Roman" w:cs="Times New Roman"/>
                <w:vertAlign w:val="subscript"/>
              </w:rPr>
            </w:pPr>
          </w:p>
        </w:tc>
      </w:tr>
    </w:tbl>
    <w:p w:rsidR="00793955" w:rsidRPr="00297453" w:rsidRDefault="00793955" w:rsidP="00503052">
      <w:pPr>
        <w:spacing w:after="0" w:line="360" w:lineRule="auto"/>
        <w:rPr>
          <w:rFonts w:ascii="Times New Roman" w:hAnsi="Times New Roman" w:cs="Times New Roman"/>
          <w:sz w:val="16"/>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271"/>
        <w:gridCol w:w="1281"/>
      </w:tblGrid>
      <w:tr w:rsidR="00503052" w:rsidTr="007B7816">
        <w:tc>
          <w:tcPr>
            <w:tcW w:w="1271" w:type="dxa"/>
          </w:tcPr>
          <w:p w:rsidR="00503052" w:rsidRPr="007B7816" w:rsidRDefault="007B7816" w:rsidP="00503052">
            <w:pPr>
              <w:spacing w:line="360" w:lineRule="auto"/>
              <w:rPr>
                <w:rFonts w:ascii="Times New Roman" w:hAnsi="Times New Roman" w:cs="Times New Roman"/>
                <w:u w:val="single"/>
              </w:rPr>
            </w:pPr>
            <w:r w:rsidRPr="007B7816">
              <w:rPr>
                <w:rFonts w:ascii="Times New Roman" w:hAnsi="Times New Roman" w:cs="Times New Roman"/>
                <w:u w:val="single"/>
              </w:rPr>
              <w:t>Legend</w:t>
            </w:r>
          </w:p>
        </w:tc>
        <w:tc>
          <w:tcPr>
            <w:tcW w:w="1281" w:type="dxa"/>
          </w:tcPr>
          <w:p w:rsidR="00503052" w:rsidRPr="00503052" w:rsidRDefault="00503052" w:rsidP="00503052">
            <w:pPr>
              <w:spacing w:line="360" w:lineRule="auto"/>
              <w:rPr>
                <w:rFonts w:ascii="Times New Roman" w:hAnsi="Times New Roman" w:cs="Times New Roman"/>
              </w:rPr>
            </w:pPr>
          </w:p>
        </w:tc>
      </w:tr>
      <w:tr w:rsidR="00503052" w:rsidTr="007B7816">
        <w:tc>
          <w:tcPr>
            <w:tcW w:w="1271" w:type="dxa"/>
            <w:shd w:val="clear" w:color="auto" w:fill="A8D08D" w:themeFill="accent6" w:themeFillTint="99"/>
          </w:tcPr>
          <w:p w:rsidR="00503052" w:rsidRPr="00503052" w:rsidRDefault="00503052" w:rsidP="00503052">
            <w:pPr>
              <w:spacing w:line="360" w:lineRule="auto"/>
              <w:rPr>
                <w:rFonts w:ascii="Times New Roman" w:hAnsi="Times New Roman" w:cs="Times New Roman"/>
              </w:rPr>
            </w:pPr>
          </w:p>
        </w:tc>
        <w:tc>
          <w:tcPr>
            <w:tcW w:w="1281" w:type="dxa"/>
          </w:tcPr>
          <w:p w:rsidR="00503052" w:rsidRPr="00503052" w:rsidRDefault="00503052" w:rsidP="00503052">
            <w:pPr>
              <w:spacing w:line="360" w:lineRule="auto"/>
              <w:rPr>
                <w:rFonts w:ascii="Times New Roman" w:hAnsi="Times New Roman" w:cs="Times New Roman"/>
              </w:rPr>
            </w:pPr>
            <w:r>
              <w:rPr>
                <w:rFonts w:ascii="Times New Roman" w:hAnsi="Times New Roman" w:cs="Times New Roman"/>
              </w:rPr>
              <w:t>Phase I</w:t>
            </w:r>
          </w:p>
        </w:tc>
      </w:tr>
      <w:tr w:rsidR="00503052" w:rsidTr="007B7816">
        <w:tc>
          <w:tcPr>
            <w:tcW w:w="1271" w:type="dxa"/>
            <w:shd w:val="clear" w:color="auto" w:fill="F4B083" w:themeFill="accent2" w:themeFillTint="99"/>
          </w:tcPr>
          <w:p w:rsidR="00503052" w:rsidRPr="00503052" w:rsidRDefault="00503052" w:rsidP="00503052">
            <w:pPr>
              <w:spacing w:line="360" w:lineRule="auto"/>
              <w:rPr>
                <w:rFonts w:ascii="Times New Roman" w:hAnsi="Times New Roman" w:cs="Times New Roman"/>
              </w:rPr>
            </w:pPr>
          </w:p>
        </w:tc>
        <w:tc>
          <w:tcPr>
            <w:tcW w:w="1281" w:type="dxa"/>
          </w:tcPr>
          <w:p w:rsidR="00503052" w:rsidRPr="00503052" w:rsidRDefault="00503052" w:rsidP="00503052">
            <w:pPr>
              <w:spacing w:line="360" w:lineRule="auto"/>
              <w:rPr>
                <w:rFonts w:ascii="Times New Roman" w:hAnsi="Times New Roman" w:cs="Times New Roman"/>
              </w:rPr>
            </w:pPr>
            <w:r>
              <w:rPr>
                <w:rFonts w:ascii="Times New Roman" w:hAnsi="Times New Roman" w:cs="Times New Roman"/>
              </w:rPr>
              <w:t>Phase II</w:t>
            </w:r>
          </w:p>
        </w:tc>
      </w:tr>
    </w:tbl>
    <w:p w:rsidR="00503052" w:rsidRDefault="00503052" w:rsidP="00503052">
      <w:pPr>
        <w:spacing w:after="0" w:line="360" w:lineRule="auto"/>
        <w:rPr>
          <w:rFonts w:ascii="Times New Roman" w:hAnsi="Times New Roman" w:cs="Times New Roman"/>
          <w:sz w:val="24"/>
          <w:szCs w:val="24"/>
        </w:rPr>
      </w:pPr>
    </w:p>
    <w:p w:rsidR="00F2022D" w:rsidRDefault="00F2022D" w:rsidP="005163B5">
      <w:pPr>
        <w:spacing w:line="360" w:lineRule="auto"/>
        <w:rPr>
          <w:rFonts w:ascii="Times New Roman" w:hAnsi="Times New Roman" w:cs="Times New Roman"/>
          <w:sz w:val="24"/>
          <w:szCs w:val="24"/>
        </w:rPr>
        <w:sectPr w:rsidR="00F2022D" w:rsidSect="002F19F8">
          <w:pgSz w:w="16838" w:h="11906" w:orient="landscape"/>
          <w:pgMar w:top="1440" w:right="1440" w:bottom="1440" w:left="1440" w:header="708" w:footer="708" w:gutter="0"/>
          <w:cols w:space="708"/>
          <w:titlePg/>
          <w:docGrid w:linePitch="360"/>
        </w:sectPr>
      </w:pPr>
    </w:p>
    <w:p w:rsidR="00813DD0" w:rsidRPr="001F7E9A" w:rsidRDefault="00813DD0" w:rsidP="002037E9">
      <w:pPr>
        <w:pStyle w:val="Heading1"/>
        <w:numPr>
          <w:ilvl w:val="0"/>
          <w:numId w:val="13"/>
        </w:numPr>
        <w:ind w:left="426"/>
        <w:rPr>
          <w:rFonts w:ascii="Times New Roman" w:hAnsi="Times New Roman" w:cs="Times New Roman"/>
          <w:b/>
          <w:color w:val="000000" w:themeColor="text1"/>
          <w:sz w:val="24"/>
          <w:szCs w:val="24"/>
        </w:rPr>
      </w:pPr>
      <w:bookmarkStart w:id="11" w:name="_Toc119880503"/>
      <w:r w:rsidRPr="001F7E9A">
        <w:rPr>
          <w:rFonts w:ascii="Times New Roman" w:hAnsi="Times New Roman" w:cs="Times New Roman"/>
          <w:b/>
          <w:color w:val="000000" w:themeColor="text1"/>
          <w:sz w:val="24"/>
          <w:szCs w:val="24"/>
        </w:rPr>
        <w:lastRenderedPageBreak/>
        <w:t>Budget</w:t>
      </w:r>
      <w:bookmarkEnd w:id="11"/>
    </w:p>
    <w:p w:rsidR="00813DD0" w:rsidRPr="00813DD0" w:rsidRDefault="00813DD0" w:rsidP="00813DD0"/>
    <w:p w:rsidR="00813DD0" w:rsidRPr="00813DD0" w:rsidRDefault="00813DD0" w:rsidP="00813DD0">
      <w:pPr>
        <w:spacing w:line="360" w:lineRule="auto"/>
        <w:jc w:val="both"/>
        <w:rPr>
          <w:rFonts w:ascii="Times New Roman" w:hAnsi="Times New Roman" w:cs="Times New Roman"/>
          <w:sz w:val="24"/>
          <w:szCs w:val="24"/>
        </w:rPr>
      </w:pPr>
      <w:r w:rsidRPr="00813DD0">
        <w:rPr>
          <w:rFonts w:ascii="Times New Roman" w:hAnsi="Times New Roman" w:cs="Times New Roman"/>
          <w:sz w:val="24"/>
          <w:szCs w:val="24"/>
        </w:rPr>
        <w:t xml:space="preserve">All the activities of this project are within the operations of MOH Malaysia and using </w:t>
      </w:r>
      <w:r w:rsidR="00952822">
        <w:rPr>
          <w:rFonts w:ascii="Times New Roman" w:hAnsi="Times New Roman" w:cs="Times New Roman"/>
          <w:sz w:val="24"/>
          <w:szCs w:val="24"/>
        </w:rPr>
        <w:t xml:space="preserve">ispring </w:t>
      </w:r>
      <w:r w:rsidRPr="00813DD0">
        <w:rPr>
          <w:rFonts w:ascii="Times New Roman" w:hAnsi="Times New Roman" w:cs="Times New Roman"/>
          <w:sz w:val="24"/>
          <w:szCs w:val="24"/>
        </w:rPr>
        <w:t>application</w:t>
      </w:r>
      <w:r w:rsidR="00952822">
        <w:rPr>
          <w:rFonts w:ascii="Times New Roman" w:hAnsi="Times New Roman" w:cs="Times New Roman"/>
          <w:sz w:val="24"/>
          <w:szCs w:val="24"/>
        </w:rPr>
        <w:t xml:space="preserve"> to be bought for </w:t>
      </w:r>
      <w:r w:rsidR="003636A8">
        <w:rPr>
          <w:rFonts w:ascii="Times New Roman" w:hAnsi="Times New Roman" w:cs="Times New Roman"/>
          <w:sz w:val="24"/>
          <w:szCs w:val="24"/>
        </w:rPr>
        <w:t>a one-</w:t>
      </w:r>
      <w:r w:rsidR="00952822">
        <w:rPr>
          <w:rFonts w:ascii="Times New Roman" w:hAnsi="Times New Roman" w:cs="Times New Roman"/>
          <w:sz w:val="24"/>
          <w:szCs w:val="24"/>
        </w:rPr>
        <w:t>year subscription</w:t>
      </w:r>
      <w:r w:rsidRPr="00813DD0">
        <w:rPr>
          <w:rFonts w:ascii="Times New Roman" w:hAnsi="Times New Roman" w:cs="Times New Roman"/>
          <w:sz w:val="24"/>
          <w:szCs w:val="24"/>
        </w:rPr>
        <w:t>. Activities in this project do not involve any vendors. Only the cost of meals for the workshop must be budgeted in the Family Health Development Division’s yearly operational spending.</w:t>
      </w:r>
    </w:p>
    <w:p w:rsidR="00813DD0" w:rsidRPr="00813DD0" w:rsidRDefault="00813DD0" w:rsidP="00813DD0">
      <w:pPr>
        <w:spacing w:after="0"/>
      </w:pPr>
    </w:p>
    <w:tbl>
      <w:tblPr>
        <w:tblStyle w:val="TableGrid1"/>
        <w:tblW w:w="0" w:type="auto"/>
        <w:jc w:val="center"/>
        <w:tblLook w:val="04A0" w:firstRow="1" w:lastRow="0" w:firstColumn="1" w:lastColumn="0" w:noHBand="0" w:noVBand="1"/>
      </w:tblPr>
      <w:tblGrid>
        <w:gridCol w:w="846"/>
        <w:gridCol w:w="5164"/>
        <w:gridCol w:w="1498"/>
      </w:tblGrid>
      <w:tr w:rsidR="00813DD0" w:rsidRPr="00813DD0" w:rsidTr="00905355">
        <w:trPr>
          <w:jc w:val="center"/>
        </w:trPr>
        <w:tc>
          <w:tcPr>
            <w:tcW w:w="846" w:type="dxa"/>
            <w:shd w:val="pct10" w:color="auto" w:fill="auto"/>
          </w:tcPr>
          <w:p w:rsidR="00813DD0" w:rsidRPr="00813DD0" w:rsidRDefault="00813DD0" w:rsidP="00813DD0">
            <w:pPr>
              <w:spacing w:after="160" w:line="360" w:lineRule="auto"/>
              <w:jc w:val="both"/>
              <w:rPr>
                <w:rFonts w:ascii="Times New Roman" w:hAnsi="Times New Roman" w:cs="Times New Roman"/>
                <w:b/>
                <w:sz w:val="24"/>
                <w:szCs w:val="24"/>
              </w:rPr>
            </w:pPr>
            <w:r w:rsidRPr="00813DD0">
              <w:rPr>
                <w:rFonts w:ascii="Times New Roman" w:hAnsi="Times New Roman" w:cs="Times New Roman"/>
                <w:b/>
                <w:sz w:val="24"/>
                <w:szCs w:val="24"/>
              </w:rPr>
              <w:t>No.</w:t>
            </w:r>
          </w:p>
        </w:tc>
        <w:tc>
          <w:tcPr>
            <w:tcW w:w="5164" w:type="dxa"/>
            <w:shd w:val="pct10" w:color="auto" w:fill="auto"/>
          </w:tcPr>
          <w:p w:rsidR="00813DD0" w:rsidRPr="00813DD0" w:rsidRDefault="00813DD0" w:rsidP="00813DD0">
            <w:pPr>
              <w:spacing w:after="160" w:line="360" w:lineRule="auto"/>
              <w:jc w:val="both"/>
              <w:rPr>
                <w:rFonts w:ascii="Times New Roman" w:hAnsi="Times New Roman" w:cs="Times New Roman"/>
                <w:b/>
                <w:sz w:val="24"/>
                <w:szCs w:val="24"/>
              </w:rPr>
            </w:pPr>
            <w:r w:rsidRPr="00813DD0">
              <w:rPr>
                <w:rFonts w:ascii="Times New Roman" w:hAnsi="Times New Roman" w:cs="Times New Roman"/>
                <w:b/>
                <w:sz w:val="24"/>
                <w:szCs w:val="24"/>
              </w:rPr>
              <w:t xml:space="preserve">Item </w:t>
            </w:r>
          </w:p>
        </w:tc>
        <w:tc>
          <w:tcPr>
            <w:tcW w:w="1498" w:type="dxa"/>
            <w:shd w:val="pct10" w:color="auto" w:fill="auto"/>
          </w:tcPr>
          <w:p w:rsidR="00813DD0" w:rsidRPr="00813DD0" w:rsidRDefault="00813DD0" w:rsidP="00813DD0">
            <w:pPr>
              <w:spacing w:after="160" w:line="360" w:lineRule="auto"/>
              <w:jc w:val="right"/>
              <w:rPr>
                <w:rFonts w:ascii="Times New Roman" w:hAnsi="Times New Roman" w:cs="Times New Roman"/>
                <w:b/>
                <w:sz w:val="24"/>
                <w:szCs w:val="24"/>
              </w:rPr>
            </w:pPr>
            <w:r w:rsidRPr="00813DD0">
              <w:rPr>
                <w:rFonts w:ascii="Times New Roman" w:hAnsi="Times New Roman" w:cs="Times New Roman"/>
                <w:b/>
                <w:sz w:val="24"/>
                <w:szCs w:val="24"/>
              </w:rPr>
              <w:t>Cost (RM)</w:t>
            </w:r>
          </w:p>
        </w:tc>
      </w:tr>
      <w:tr w:rsidR="00813DD0" w:rsidRPr="00813DD0" w:rsidTr="00905355">
        <w:trPr>
          <w:jc w:val="center"/>
        </w:trPr>
        <w:tc>
          <w:tcPr>
            <w:tcW w:w="846" w:type="dxa"/>
          </w:tcPr>
          <w:p w:rsidR="00813DD0" w:rsidRPr="00813DD0" w:rsidRDefault="00813DD0" w:rsidP="00813DD0">
            <w:pPr>
              <w:numPr>
                <w:ilvl w:val="0"/>
                <w:numId w:val="5"/>
              </w:numPr>
              <w:spacing w:after="160" w:line="360" w:lineRule="auto"/>
              <w:contextualSpacing/>
              <w:jc w:val="both"/>
              <w:rPr>
                <w:rFonts w:ascii="Times New Roman" w:hAnsi="Times New Roman" w:cs="Times New Roman"/>
                <w:sz w:val="24"/>
                <w:szCs w:val="24"/>
              </w:rPr>
            </w:pPr>
          </w:p>
        </w:tc>
        <w:tc>
          <w:tcPr>
            <w:tcW w:w="5164" w:type="dxa"/>
          </w:tcPr>
          <w:p w:rsidR="00813DD0" w:rsidRPr="00813DD0" w:rsidRDefault="00813DD0" w:rsidP="00347DCF">
            <w:pPr>
              <w:spacing w:line="360" w:lineRule="auto"/>
              <w:jc w:val="both"/>
              <w:rPr>
                <w:rFonts w:ascii="Times New Roman" w:hAnsi="Times New Roman" w:cs="Times New Roman"/>
                <w:sz w:val="24"/>
                <w:szCs w:val="24"/>
              </w:rPr>
            </w:pPr>
            <w:r w:rsidRPr="00813DD0">
              <w:rPr>
                <w:rFonts w:ascii="Times New Roman" w:hAnsi="Times New Roman" w:cs="Times New Roman"/>
                <w:sz w:val="24"/>
                <w:szCs w:val="24"/>
              </w:rPr>
              <w:t>Online TPC-OHCIS User Training Modules workshop</w:t>
            </w:r>
          </w:p>
          <w:p w:rsidR="00813DD0" w:rsidRPr="00813DD0" w:rsidRDefault="00813DD0" w:rsidP="00813DD0">
            <w:pPr>
              <w:numPr>
                <w:ilvl w:val="0"/>
                <w:numId w:val="6"/>
              </w:numPr>
              <w:spacing w:after="160" w:line="360" w:lineRule="auto"/>
              <w:contextualSpacing/>
              <w:jc w:val="both"/>
              <w:rPr>
                <w:rFonts w:ascii="Times New Roman" w:hAnsi="Times New Roman" w:cs="Times New Roman"/>
                <w:sz w:val="24"/>
                <w:szCs w:val="24"/>
              </w:rPr>
            </w:pPr>
            <w:r w:rsidRPr="00813DD0">
              <w:rPr>
                <w:rFonts w:ascii="Times New Roman" w:hAnsi="Times New Roman" w:cs="Times New Roman"/>
                <w:sz w:val="24"/>
                <w:szCs w:val="24"/>
              </w:rPr>
              <w:t>Meals for 30 pax</w:t>
            </w:r>
          </w:p>
        </w:tc>
        <w:tc>
          <w:tcPr>
            <w:tcW w:w="1498" w:type="dxa"/>
          </w:tcPr>
          <w:p w:rsidR="00813DD0" w:rsidRPr="00813DD0" w:rsidRDefault="00813DD0" w:rsidP="00347DCF">
            <w:pPr>
              <w:spacing w:after="160" w:line="360" w:lineRule="auto"/>
              <w:rPr>
                <w:rFonts w:ascii="Times New Roman" w:hAnsi="Times New Roman" w:cs="Times New Roman"/>
                <w:sz w:val="24"/>
                <w:szCs w:val="24"/>
              </w:rPr>
            </w:pPr>
          </w:p>
          <w:p w:rsidR="00813DD0" w:rsidRPr="00813DD0" w:rsidRDefault="00C40442" w:rsidP="00347DCF">
            <w:pPr>
              <w:spacing w:line="360" w:lineRule="auto"/>
              <w:jc w:val="right"/>
              <w:rPr>
                <w:rFonts w:ascii="Times New Roman" w:hAnsi="Times New Roman" w:cs="Times New Roman"/>
                <w:sz w:val="24"/>
                <w:szCs w:val="24"/>
              </w:rPr>
            </w:pPr>
            <w:r>
              <w:rPr>
                <w:rFonts w:ascii="Times New Roman" w:hAnsi="Times New Roman" w:cs="Times New Roman"/>
                <w:sz w:val="24"/>
                <w:szCs w:val="24"/>
              </w:rPr>
              <w:t>6</w:t>
            </w:r>
            <w:r w:rsidR="00813DD0" w:rsidRPr="00813DD0">
              <w:rPr>
                <w:rFonts w:ascii="Times New Roman" w:hAnsi="Times New Roman" w:cs="Times New Roman"/>
                <w:sz w:val="24"/>
                <w:szCs w:val="24"/>
              </w:rPr>
              <w:t>00.00</w:t>
            </w:r>
          </w:p>
        </w:tc>
      </w:tr>
      <w:tr w:rsidR="00813DD0" w:rsidRPr="00813DD0" w:rsidTr="00905355">
        <w:trPr>
          <w:jc w:val="center"/>
        </w:trPr>
        <w:tc>
          <w:tcPr>
            <w:tcW w:w="846" w:type="dxa"/>
          </w:tcPr>
          <w:p w:rsidR="00813DD0" w:rsidRPr="00813DD0" w:rsidRDefault="00813DD0" w:rsidP="00813DD0">
            <w:pPr>
              <w:numPr>
                <w:ilvl w:val="0"/>
                <w:numId w:val="5"/>
              </w:numPr>
              <w:spacing w:after="160" w:line="360" w:lineRule="auto"/>
              <w:contextualSpacing/>
              <w:jc w:val="both"/>
              <w:rPr>
                <w:rFonts w:ascii="Times New Roman" w:hAnsi="Times New Roman" w:cs="Times New Roman"/>
                <w:sz w:val="24"/>
                <w:szCs w:val="24"/>
              </w:rPr>
            </w:pPr>
          </w:p>
        </w:tc>
        <w:tc>
          <w:tcPr>
            <w:tcW w:w="5164" w:type="dxa"/>
          </w:tcPr>
          <w:p w:rsidR="00813DD0" w:rsidRPr="00813DD0" w:rsidRDefault="00813DD0" w:rsidP="00347DCF">
            <w:pPr>
              <w:spacing w:line="360" w:lineRule="auto"/>
              <w:jc w:val="both"/>
              <w:rPr>
                <w:rFonts w:ascii="Times New Roman" w:hAnsi="Times New Roman" w:cs="Times New Roman"/>
                <w:sz w:val="24"/>
                <w:szCs w:val="24"/>
              </w:rPr>
            </w:pPr>
            <w:r w:rsidRPr="00813DD0">
              <w:rPr>
                <w:rFonts w:ascii="Times New Roman" w:hAnsi="Times New Roman" w:cs="Times New Roman"/>
                <w:sz w:val="24"/>
                <w:szCs w:val="24"/>
              </w:rPr>
              <w:t>Outpatient modules educational material development workshop</w:t>
            </w:r>
          </w:p>
          <w:p w:rsidR="00813DD0" w:rsidRPr="00813DD0" w:rsidRDefault="00813DD0" w:rsidP="00813DD0">
            <w:pPr>
              <w:numPr>
                <w:ilvl w:val="0"/>
                <w:numId w:val="6"/>
              </w:numPr>
              <w:spacing w:after="160" w:line="360" w:lineRule="auto"/>
              <w:contextualSpacing/>
              <w:jc w:val="both"/>
              <w:rPr>
                <w:rFonts w:ascii="Times New Roman" w:hAnsi="Times New Roman" w:cs="Times New Roman"/>
                <w:sz w:val="24"/>
                <w:szCs w:val="24"/>
              </w:rPr>
            </w:pPr>
            <w:r w:rsidRPr="00813DD0">
              <w:rPr>
                <w:rFonts w:ascii="Times New Roman" w:hAnsi="Times New Roman" w:cs="Times New Roman"/>
                <w:sz w:val="24"/>
                <w:szCs w:val="24"/>
              </w:rPr>
              <w:t>Meals for 30 pax</w:t>
            </w:r>
          </w:p>
        </w:tc>
        <w:tc>
          <w:tcPr>
            <w:tcW w:w="1498" w:type="dxa"/>
            <w:vAlign w:val="bottom"/>
          </w:tcPr>
          <w:p w:rsidR="00813DD0" w:rsidRPr="00813DD0" w:rsidRDefault="00C40442" w:rsidP="00813DD0">
            <w:pPr>
              <w:spacing w:after="160" w:line="259" w:lineRule="auto"/>
              <w:jc w:val="right"/>
            </w:pPr>
            <w:r>
              <w:rPr>
                <w:rFonts w:ascii="Times New Roman" w:hAnsi="Times New Roman" w:cs="Times New Roman"/>
                <w:sz w:val="24"/>
                <w:szCs w:val="24"/>
              </w:rPr>
              <w:t>6</w:t>
            </w:r>
            <w:r w:rsidR="00813DD0" w:rsidRPr="00813DD0">
              <w:rPr>
                <w:rFonts w:ascii="Times New Roman" w:hAnsi="Times New Roman" w:cs="Times New Roman"/>
                <w:sz w:val="24"/>
                <w:szCs w:val="24"/>
              </w:rPr>
              <w:t>00.00</w:t>
            </w:r>
          </w:p>
        </w:tc>
      </w:tr>
      <w:tr w:rsidR="00813DD0" w:rsidRPr="00813DD0" w:rsidTr="00905355">
        <w:trPr>
          <w:jc w:val="center"/>
        </w:trPr>
        <w:tc>
          <w:tcPr>
            <w:tcW w:w="846" w:type="dxa"/>
          </w:tcPr>
          <w:p w:rsidR="00813DD0" w:rsidRPr="00813DD0" w:rsidRDefault="00813DD0" w:rsidP="00813DD0">
            <w:pPr>
              <w:numPr>
                <w:ilvl w:val="0"/>
                <w:numId w:val="5"/>
              </w:numPr>
              <w:spacing w:after="160" w:line="360" w:lineRule="auto"/>
              <w:contextualSpacing/>
              <w:jc w:val="both"/>
              <w:rPr>
                <w:rFonts w:ascii="Times New Roman" w:hAnsi="Times New Roman" w:cs="Times New Roman"/>
                <w:sz w:val="24"/>
                <w:szCs w:val="24"/>
              </w:rPr>
            </w:pPr>
          </w:p>
        </w:tc>
        <w:tc>
          <w:tcPr>
            <w:tcW w:w="5164" w:type="dxa"/>
          </w:tcPr>
          <w:p w:rsidR="00813DD0" w:rsidRPr="00813DD0" w:rsidRDefault="00813DD0" w:rsidP="00347DCF">
            <w:pPr>
              <w:spacing w:line="360" w:lineRule="auto"/>
              <w:jc w:val="both"/>
              <w:rPr>
                <w:rFonts w:ascii="Times New Roman" w:hAnsi="Times New Roman" w:cs="Times New Roman"/>
                <w:sz w:val="24"/>
                <w:szCs w:val="24"/>
              </w:rPr>
            </w:pPr>
            <w:r w:rsidRPr="00813DD0">
              <w:rPr>
                <w:rFonts w:ascii="Times New Roman" w:hAnsi="Times New Roman" w:cs="Times New Roman"/>
                <w:sz w:val="24"/>
                <w:szCs w:val="24"/>
              </w:rPr>
              <w:t>Maternal and Child Health modules educational material development workshop</w:t>
            </w:r>
          </w:p>
          <w:p w:rsidR="00813DD0" w:rsidRPr="00813DD0" w:rsidRDefault="00813DD0" w:rsidP="00813DD0">
            <w:pPr>
              <w:numPr>
                <w:ilvl w:val="0"/>
                <w:numId w:val="6"/>
              </w:numPr>
              <w:spacing w:after="160" w:line="360" w:lineRule="auto"/>
              <w:contextualSpacing/>
              <w:jc w:val="both"/>
              <w:rPr>
                <w:rFonts w:ascii="Times New Roman" w:hAnsi="Times New Roman" w:cs="Times New Roman"/>
                <w:sz w:val="24"/>
                <w:szCs w:val="24"/>
              </w:rPr>
            </w:pPr>
            <w:r w:rsidRPr="00813DD0">
              <w:rPr>
                <w:rFonts w:ascii="Times New Roman" w:hAnsi="Times New Roman" w:cs="Times New Roman"/>
                <w:sz w:val="24"/>
                <w:szCs w:val="24"/>
              </w:rPr>
              <w:t>Meals for 30 pax</w:t>
            </w:r>
          </w:p>
        </w:tc>
        <w:tc>
          <w:tcPr>
            <w:tcW w:w="1498" w:type="dxa"/>
            <w:vAlign w:val="bottom"/>
          </w:tcPr>
          <w:p w:rsidR="00813DD0" w:rsidRPr="00813DD0" w:rsidRDefault="00C40442" w:rsidP="00813DD0">
            <w:pPr>
              <w:spacing w:after="160" w:line="259" w:lineRule="auto"/>
              <w:jc w:val="right"/>
            </w:pPr>
            <w:r>
              <w:rPr>
                <w:rFonts w:ascii="Times New Roman" w:hAnsi="Times New Roman" w:cs="Times New Roman"/>
                <w:sz w:val="24"/>
                <w:szCs w:val="24"/>
              </w:rPr>
              <w:t>6</w:t>
            </w:r>
            <w:r w:rsidR="00813DD0" w:rsidRPr="00813DD0">
              <w:rPr>
                <w:rFonts w:ascii="Times New Roman" w:hAnsi="Times New Roman" w:cs="Times New Roman"/>
                <w:sz w:val="24"/>
                <w:szCs w:val="24"/>
              </w:rPr>
              <w:t>00.00</w:t>
            </w:r>
          </w:p>
        </w:tc>
      </w:tr>
      <w:tr w:rsidR="00813DD0" w:rsidRPr="00813DD0" w:rsidTr="00905355">
        <w:trPr>
          <w:jc w:val="center"/>
        </w:trPr>
        <w:tc>
          <w:tcPr>
            <w:tcW w:w="846" w:type="dxa"/>
          </w:tcPr>
          <w:p w:rsidR="00813DD0" w:rsidRPr="00813DD0" w:rsidRDefault="00813DD0" w:rsidP="00813DD0">
            <w:pPr>
              <w:spacing w:after="160" w:line="360" w:lineRule="auto"/>
              <w:jc w:val="both"/>
              <w:rPr>
                <w:rFonts w:ascii="Times New Roman" w:hAnsi="Times New Roman" w:cs="Times New Roman"/>
                <w:sz w:val="24"/>
                <w:szCs w:val="24"/>
              </w:rPr>
            </w:pPr>
          </w:p>
        </w:tc>
        <w:tc>
          <w:tcPr>
            <w:tcW w:w="5164" w:type="dxa"/>
          </w:tcPr>
          <w:p w:rsidR="00813DD0" w:rsidRPr="00813DD0" w:rsidRDefault="00813DD0" w:rsidP="00813DD0">
            <w:pPr>
              <w:spacing w:after="160" w:line="360" w:lineRule="auto"/>
              <w:jc w:val="right"/>
              <w:rPr>
                <w:rFonts w:ascii="Times New Roman" w:hAnsi="Times New Roman" w:cs="Times New Roman"/>
                <w:sz w:val="24"/>
                <w:szCs w:val="24"/>
              </w:rPr>
            </w:pPr>
            <w:r w:rsidRPr="00813DD0">
              <w:rPr>
                <w:rFonts w:ascii="Times New Roman" w:hAnsi="Times New Roman" w:cs="Times New Roman"/>
                <w:sz w:val="24"/>
                <w:szCs w:val="24"/>
              </w:rPr>
              <w:t>Total</w:t>
            </w:r>
          </w:p>
        </w:tc>
        <w:tc>
          <w:tcPr>
            <w:tcW w:w="1498" w:type="dxa"/>
          </w:tcPr>
          <w:p w:rsidR="00813DD0" w:rsidRPr="00813DD0" w:rsidRDefault="00C40442" w:rsidP="00813DD0">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1,800.0</w:t>
            </w:r>
            <w:r w:rsidR="00813DD0" w:rsidRPr="00813DD0">
              <w:rPr>
                <w:rFonts w:ascii="Times New Roman" w:hAnsi="Times New Roman" w:cs="Times New Roman"/>
                <w:sz w:val="24"/>
                <w:szCs w:val="24"/>
              </w:rPr>
              <w:t>0</w:t>
            </w:r>
          </w:p>
        </w:tc>
      </w:tr>
    </w:tbl>
    <w:p w:rsidR="00751E83" w:rsidRPr="00751E83" w:rsidRDefault="00751E83" w:rsidP="00751E83">
      <w:pPr>
        <w:spacing w:line="360" w:lineRule="auto"/>
        <w:rPr>
          <w:rFonts w:ascii="Times New Roman" w:hAnsi="Times New Roman" w:cs="Times New Roman"/>
          <w:sz w:val="24"/>
          <w:szCs w:val="24"/>
        </w:rPr>
      </w:pPr>
    </w:p>
    <w:p w:rsidR="009727EB" w:rsidRDefault="009727EB" w:rsidP="009727EB">
      <w:r>
        <w:br w:type="page"/>
      </w:r>
    </w:p>
    <w:p w:rsidR="009727EB" w:rsidRPr="008E0689" w:rsidRDefault="00A43183" w:rsidP="002037E9">
      <w:pPr>
        <w:pStyle w:val="Heading1"/>
        <w:numPr>
          <w:ilvl w:val="0"/>
          <w:numId w:val="13"/>
        </w:numPr>
        <w:spacing w:line="360" w:lineRule="auto"/>
        <w:ind w:left="426"/>
        <w:rPr>
          <w:rFonts w:ascii="Times New Roman" w:hAnsi="Times New Roman" w:cs="Times New Roman"/>
          <w:b/>
          <w:color w:val="000000" w:themeColor="text1"/>
          <w:sz w:val="24"/>
          <w:szCs w:val="24"/>
        </w:rPr>
      </w:pPr>
      <w:bookmarkStart w:id="12" w:name="_Toc119880504"/>
      <w:r>
        <w:rPr>
          <w:rFonts w:ascii="Times New Roman" w:hAnsi="Times New Roman" w:cs="Times New Roman"/>
          <w:b/>
          <w:color w:val="000000" w:themeColor="text1"/>
          <w:sz w:val="24"/>
          <w:szCs w:val="24"/>
        </w:rPr>
        <w:lastRenderedPageBreak/>
        <w:t>Conclusion</w:t>
      </w:r>
      <w:bookmarkEnd w:id="12"/>
    </w:p>
    <w:p w:rsidR="0089421F" w:rsidRDefault="0089421F" w:rsidP="00186403">
      <w:pPr>
        <w:spacing w:line="360" w:lineRule="auto"/>
        <w:rPr>
          <w:rFonts w:ascii="Times New Roman" w:hAnsi="Times New Roman" w:cs="Times New Roman"/>
          <w:color w:val="000000" w:themeColor="text1"/>
          <w:sz w:val="24"/>
          <w:szCs w:val="24"/>
        </w:rPr>
      </w:pPr>
    </w:p>
    <w:p w:rsidR="008D791F" w:rsidRDefault="00F405F3" w:rsidP="00F330B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Although TPC-OHCIS is </w:t>
      </w:r>
      <w:r w:rsidR="00FB0766">
        <w:rPr>
          <w:rFonts w:ascii="Times New Roman" w:hAnsi="Times New Roman" w:cs="Times New Roman"/>
          <w:color w:val="000000" w:themeColor="text1"/>
          <w:sz w:val="24"/>
          <w:szCs w:val="24"/>
        </w:rPr>
        <w:t xml:space="preserve">a </w:t>
      </w:r>
      <w:r>
        <w:rPr>
          <w:rFonts w:ascii="Times New Roman" w:hAnsi="Times New Roman" w:cs="Times New Roman"/>
          <w:color w:val="000000" w:themeColor="text1"/>
          <w:sz w:val="24"/>
          <w:szCs w:val="24"/>
        </w:rPr>
        <w:t>comprehensive</w:t>
      </w:r>
      <w:r w:rsidR="00BF10F6">
        <w:rPr>
          <w:rFonts w:ascii="Times New Roman" w:hAnsi="Times New Roman" w:cs="Times New Roman"/>
          <w:color w:val="000000" w:themeColor="text1"/>
          <w:sz w:val="24"/>
          <w:szCs w:val="24"/>
        </w:rPr>
        <w:t xml:space="preserve"> EHR</w:t>
      </w:r>
      <w:r>
        <w:rPr>
          <w:rFonts w:ascii="Times New Roman" w:hAnsi="Times New Roman" w:cs="Times New Roman"/>
          <w:color w:val="000000" w:themeColor="text1"/>
          <w:sz w:val="24"/>
          <w:szCs w:val="24"/>
        </w:rPr>
        <w:t xml:space="preserve">, </w:t>
      </w:r>
      <w:r w:rsidR="00DB55AC">
        <w:rPr>
          <w:rFonts w:ascii="Times New Roman" w:hAnsi="Times New Roman" w:cs="Times New Roman"/>
          <w:color w:val="000000" w:themeColor="text1"/>
          <w:sz w:val="24"/>
          <w:szCs w:val="24"/>
        </w:rPr>
        <w:t>healthcare worker</w:t>
      </w:r>
      <w:r>
        <w:rPr>
          <w:rFonts w:ascii="Times New Roman" w:hAnsi="Times New Roman" w:cs="Times New Roman"/>
          <w:color w:val="000000" w:themeColor="text1"/>
          <w:sz w:val="24"/>
          <w:szCs w:val="24"/>
        </w:rPr>
        <w:t>s</w:t>
      </w:r>
      <w:r w:rsidR="00BF10F6">
        <w:rPr>
          <w:rFonts w:ascii="Times New Roman" w:hAnsi="Times New Roman" w:cs="Times New Roman"/>
          <w:color w:val="000000" w:themeColor="text1"/>
          <w:sz w:val="24"/>
          <w:szCs w:val="24"/>
        </w:rPr>
        <w:t xml:space="preserve"> in the</w:t>
      </w:r>
      <w:r w:rsidR="00DB55AC">
        <w:rPr>
          <w:rFonts w:ascii="Times New Roman" w:hAnsi="Times New Roman" w:cs="Times New Roman"/>
          <w:color w:val="000000" w:themeColor="text1"/>
          <w:sz w:val="24"/>
          <w:szCs w:val="24"/>
        </w:rPr>
        <w:t xml:space="preserve"> go</w:t>
      </w:r>
      <w:r w:rsidR="00FB0766">
        <w:rPr>
          <w:rFonts w:ascii="Times New Roman" w:hAnsi="Times New Roman" w:cs="Times New Roman"/>
          <w:color w:val="000000" w:themeColor="text1"/>
          <w:sz w:val="24"/>
          <w:szCs w:val="24"/>
        </w:rPr>
        <w:t>vernment health clinic only use</w:t>
      </w:r>
      <w:r>
        <w:rPr>
          <w:rFonts w:ascii="Times New Roman" w:hAnsi="Times New Roman" w:cs="Times New Roman"/>
          <w:color w:val="000000" w:themeColor="text1"/>
          <w:sz w:val="24"/>
          <w:szCs w:val="24"/>
        </w:rPr>
        <w:t xml:space="preserve"> a set of functions of it</w:t>
      </w:r>
      <w:r w:rsidR="00DB55AC">
        <w:rPr>
          <w:rFonts w:ascii="Times New Roman" w:hAnsi="Times New Roman" w:cs="Times New Roman"/>
          <w:color w:val="000000" w:themeColor="text1"/>
          <w:sz w:val="24"/>
          <w:szCs w:val="24"/>
        </w:rPr>
        <w:t xml:space="preserve"> and there are always new healthcare workers all year round who needs the TPC-OHCIS user training soonest as they start work.</w:t>
      </w:r>
      <w:r w:rsidR="0013365F">
        <w:rPr>
          <w:rFonts w:ascii="Times New Roman" w:hAnsi="Times New Roman" w:cs="Times New Roman"/>
          <w:color w:val="000000" w:themeColor="text1"/>
          <w:sz w:val="24"/>
          <w:szCs w:val="24"/>
        </w:rPr>
        <w:t xml:space="preserve"> </w:t>
      </w:r>
      <w:r w:rsidR="001504DB">
        <w:rPr>
          <w:rFonts w:ascii="Times New Roman" w:hAnsi="Times New Roman" w:cs="Times New Roman"/>
          <w:color w:val="000000" w:themeColor="text1"/>
          <w:sz w:val="24"/>
          <w:szCs w:val="24"/>
        </w:rPr>
        <w:t>Currently, TPC-OHCIS user training</w:t>
      </w:r>
      <w:r w:rsidR="00B679AA">
        <w:rPr>
          <w:rFonts w:ascii="Times New Roman" w:hAnsi="Times New Roman" w:cs="Times New Roman"/>
          <w:color w:val="000000" w:themeColor="text1"/>
          <w:sz w:val="24"/>
          <w:szCs w:val="24"/>
        </w:rPr>
        <w:t xml:space="preserve"> uses</w:t>
      </w:r>
      <w:r w:rsidR="001504DB">
        <w:rPr>
          <w:rFonts w:ascii="Times New Roman" w:hAnsi="Times New Roman" w:cs="Times New Roman"/>
          <w:color w:val="000000" w:themeColor="text1"/>
          <w:sz w:val="24"/>
          <w:szCs w:val="24"/>
        </w:rPr>
        <w:t xml:space="preserve"> a</w:t>
      </w:r>
      <w:r w:rsidR="001504DB" w:rsidRPr="001504DB">
        <w:rPr>
          <w:rFonts w:ascii="Times New Roman" w:hAnsi="Times New Roman" w:cs="Times New Roman"/>
          <w:color w:val="000000" w:themeColor="text1"/>
          <w:sz w:val="24"/>
          <w:szCs w:val="24"/>
        </w:rPr>
        <w:t xml:space="preserve"> tr</w:t>
      </w:r>
      <w:r w:rsidR="00B679AA">
        <w:rPr>
          <w:rFonts w:ascii="Times New Roman" w:hAnsi="Times New Roman" w:cs="Times New Roman"/>
          <w:color w:val="000000" w:themeColor="text1"/>
          <w:sz w:val="24"/>
          <w:szCs w:val="24"/>
        </w:rPr>
        <w:t>aditional, classroom-based TOT</w:t>
      </w:r>
      <w:r w:rsidR="00BF10F6">
        <w:rPr>
          <w:rFonts w:ascii="Times New Roman" w:hAnsi="Times New Roman" w:cs="Times New Roman"/>
          <w:color w:val="000000" w:themeColor="text1"/>
          <w:sz w:val="24"/>
          <w:szCs w:val="24"/>
        </w:rPr>
        <w:t>. The c</w:t>
      </w:r>
      <w:r w:rsidR="001504DB" w:rsidRPr="001504DB">
        <w:rPr>
          <w:rFonts w:ascii="Times New Roman" w:hAnsi="Times New Roman" w:cs="Times New Roman"/>
          <w:color w:val="000000" w:themeColor="text1"/>
          <w:sz w:val="24"/>
          <w:szCs w:val="24"/>
        </w:rPr>
        <w:t>ascade approach access to knowledge is limited to</w:t>
      </w:r>
      <w:r w:rsidR="001504DB">
        <w:rPr>
          <w:rFonts w:ascii="Times New Roman" w:hAnsi="Times New Roman" w:cs="Times New Roman"/>
          <w:color w:val="000000" w:themeColor="text1"/>
          <w:sz w:val="24"/>
          <w:szCs w:val="24"/>
        </w:rPr>
        <w:t xml:space="preserve"> a small set of </w:t>
      </w:r>
      <w:r w:rsidR="001504DB" w:rsidRPr="001504DB">
        <w:rPr>
          <w:rFonts w:ascii="Times New Roman" w:hAnsi="Times New Roman" w:cs="Times New Roman"/>
          <w:color w:val="000000" w:themeColor="text1"/>
          <w:sz w:val="24"/>
          <w:szCs w:val="24"/>
        </w:rPr>
        <w:t>master trainers, and the process of br</w:t>
      </w:r>
      <w:r w:rsidR="00B679AA">
        <w:rPr>
          <w:rFonts w:ascii="Times New Roman" w:hAnsi="Times New Roman" w:cs="Times New Roman"/>
          <w:color w:val="000000" w:themeColor="text1"/>
          <w:sz w:val="24"/>
          <w:szCs w:val="24"/>
        </w:rPr>
        <w:t>inging individuals off-site</w:t>
      </w:r>
      <w:r w:rsidR="00BF10F6">
        <w:rPr>
          <w:rFonts w:ascii="Times New Roman" w:hAnsi="Times New Roman" w:cs="Times New Roman"/>
          <w:color w:val="000000" w:themeColor="text1"/>
          <w:sz w:val="24"/>
          <w:szCs w:val="24"/>
        </w:rPr>
        <w:t xml:space="preserve"> removes health</w:t>
      </w:r>
      <w:r w:rsidR="001504DB" w:rsidRPr="001504DB">
        <w:rPr>
          <w:rFonts w:ascii="Times New Roman" w:hAnsi="Times New Roman" w:cs="Times New Roman"/>
          <w:color w:val="000000" w:themeColor="text1"/>
          <w:sz w:val="24"/>
          <w:szCs w:val="24"/>
        </w:rPr>
        <w:t>care work</w:t>
      </w:r>
      <w:r w:rsidR="00B679AA">
        <w:rPr>
          <w:rFonts w:ascii="Times New Roman" w:hAnsi="Times New Roman" w:cs="Times New Roman"/>
          <w:color w:val="000000" w:themeColor="text1"/>
          <w:sz w:val="24"/>
          <w:szCs w:val="24"/>
        </w:rPr>
        <w:t>ers from their workplaces bringing</w:t>
      </w:r>
      <w:r w:rsidR="001504DB" w:rsidRPr="001504DB">
        <w:rPr>
          <w:rFonts w:ascii="Times New Roman" w:hAnsi="Times New Roman" w:cs="Times New Roman"/>
          <w:color w:val="000000" w:themeColor="text1"/>
          <w:sz w:val="24"/>
          <w:szCs w:val="24"/>
        </w:rPr>
        <w:t xml:space="preserve"> logistical inconvenience</w:t>
      </w:r>
      <w:r w:rsidR="00F330BC">
        <w:rPr>
          <w:rFonts w:ascii="Times New Roman" w:hAnsi="Times New Roman" w:cs="Times New Roman"/>
          <w:color w:val="000000" w:themeColor="text1"/>
          <w:sz w:val="24"/>
          <w:szCs w:val="24"/>
        </w:rPr>
        <w:t xml:space="preserve">. </w:t>
      </w:r>
      <w:r w:rsidR="00425375">
        <w:rPr>
          <w:rFonts w:ascii="Times New Roman" w:hAnsi="Times New Roman" w:cs="Times New Roman"/>
          <w:color w:val="000000" w:themeColor="text1"/>
          <w:sz w:val="24"/>
          <w:szCs w:val="24"/>
        </w:rPr>
        <w:t>Understanding the nature of w</w:t>
      </w:r>
      <w:r w:rsidR="00EF4450">
        <w:rPr>
          <w:rFonts w:ascii="Times New Roman" w:hAnsi="Times New Roman" w:cs="Times New Roman"/>
          <w:color w:val="000000" w:themeColor="text1"/>
          <w:sz w:val="24"/>
          <w:szCs w:val="24"/>
        </w:rPr>
        <w:t>ork and the health system of the typically busy</w:t>
      </w:r>
      <w:r w:rsidR="00425375">
        <w:rPr>
          <w:rFonts w:ascii="Times New Roman" w:hAnsi="Times New Roman" w:cs="Times New Roman"/>
          <w:color w:val="000000" w:themeColor="text1"/>
          <w:sz w:val="24"/>
          <w:szCs w:val="24"/>
        </w:rPr>
        <w:t xml:space="preserve"> government health clinic is key in addressing </w:t>
      </w:r>
      <w:r w:rsidR="00EF4450">
        <w:rPr>
          <w:rFonts w:ascii="Times New Roman" w:hAnsi="Times New Roman" w:cs="Times New Roman"/>
          <w:color w:val="000000" w:themeColor="text1"/>
          <w:sz w:val="24"/>
          <w:szCs w:val="24"/>
        </w:rPr>
        <w:t xml:space="preserve">the </w:t>
      </w:r>
      <w:r w:rsidR="00425375">
        <w:rPr>
          <w:rFonts w:ascii="Times New Roman" w:hAnsi="Times New Roman" w:cs="Times New Roman"/>
          <w:color w:val="000000" w:themeColor="text1"/>
          <w:sz w:val="24"/>
          <w:szCs w:val="24"/>
        </w:rPr>
        <w:t xml:space="preserve">poor coverage of TPC-OHCIS user training. </w:t>
      </w:r>
      <w:r w:rsidR="00B679AA">
        <w:rPr>
          <w:rFonts w:ascii="Times New Roman" w:hAnsi="Times New Roman" w:cs="Times New Roman"/>
          <w:color w:val="000000" w:themeColor="text1"/>
          <w:sz w:val="24"/>
          <w:szCs w:val="24"/>
        </w:rPr>
        <w:t>Cooperation from state level master trainers</w:t>
      </w:r>
      <w:r w:rsidR="003B769C">
        <w:rPr>
          <w:rFonts w:ascii="Times New Roman" w:hAnsi="Times New Roman" w:cs="Times New Roman"/>
          <w:color w:val="000000" w:themeColor="text1"/>
          <w:sz w:val="24"/>
          <w:szCs w:val="24"/>
        </w:rPr>
        <w:t xml:space="preserve"> and staff is very important in developing a complete TPC-OHCIS user training modules within a 6 months period as all of the participants in this project has their own demanding main tasks</w:t>
      </w:r>
      <w:r w:rsidR="00EF4450">
        <w:rPr>
          <w:rFonts w:ascii="Times New Roman" w:hAnsi="Times New Roman" w:cs="Times New Roman"/>
          <w:color w:val="000000" w:themeColor="text1"/>
          <w:sz w:val="24"/>
          <w:szCs w:val="24"/>
        </w:rPr>
        <w:t xml:space="preserve"> as healthcare workers and IT officers</w:t>
      </w:r>
      <w:r w:rsidR="00EB5D34">
        <w:rPr>
          <w:rFonts w:ascii="Times New Roman" w:hAnsi="Times New Roman" w:cs="Times New Roman"/>
          <w:color w:val="000000" w:themeColor="text1"/>
          <w:sz w:val="24"/>
          <w:szCs w:val="24"/>
        </w:rPr>
        <w:t xml:space="preserve"> themselves</w:t>
      </w:r>
      <w:r w:rsidR="003B769C">
        <w:rPr>
          <w:rFonts w:ascii="Times New Roman" w:hAnsi="Times New Roman" w:cs="Times New Roman"/>
          <w:color w:val="000000" w:themeColor="text1"/>
          <w:sz w:val="24"/>
          <w:szCs w:val="24"/>
        </w:rPr>
        <w:t>. This p</w:t>
      </w:r>
      <w:r w:rsidR="00EF4450">
        <w:rPr>
          <w:rFonts w:ascii="Times New Roman" w:hAnsi="Times New Roman" w:cs="Times New Roman"/>
          <w:color w:val="000000" w:themeColor="text1"/>
          <w:sz w:val="24"/>
          <w:szCs w:val="24"/>
        </w:rPr>
        <w:t>roject uses available user friendly application and optimizes the current workforce and functions within MOH Malaysia to deliver</w:t>
      </w:r>
      <w:r w:rsidR="003B769C">
        <w:rPr>
          <w:rFonts w:ascii="Times New Roman" w:hAnsi="Times New Roman" w:cs="Times New Roman"/>
          <w:color w:val="000000" w:themeColor="text1"/>
          <w:sz w:val="24"/>
          <w:szCs w:val="24"/>
        </w:rPr>
        <w:t xml:space="preserve"> quality training and education to healthcare workers. All levels of literacy must also be taken under consideration to conduct this project successfully. </w:t>
      </w:r>
      <w:r w:rsidR="00242F4E">
        <w:rPr>
          <w:rFonts w:ascii="Times New Roman" w:hAnsi="Times New Roman" w:cs="Times New Roman"/>
          <w:color w:val="000000" w:themeColor="text1"/>
          <w:sz w:val="24"/>
          <w:szCs w:val="24"/>
        </w:rPr>
        <w:t>Finally, i</w:t>
      </w:r>
      <w:r w:rsidR="008D791F">
        <w:rPr>
          <w:rFonts w:ascii="Times New Roman" w:hAnsi="Times New Roman" w:cs="Times New Roman"/>
          <w:color w:val="000000" w:themeColor="text1"/>
          <w:sz w:val="24"/>
          <w:szCs w:val="24"/>
        </w:rPr>
        <w:t xml:space="preserve">mproving the user </w:t>
      </w:r>
      <w:r w:rsidR="00474734">
        <w:rPr>
          <w:rFonts w:ascii="Times New Roman" w:hAnsi="Times New Roman" w:cs="Times New Roman"/>
          <w:color w:val="000000" w:themeColor="text1"/>
          <w:sz w:val="24"/>
          <w:szCs w:val="24"/>
        </w:rPr>
        <w:t>training of TPC-OHCIS</w:t>
      </w:r>
      <w:r w:rsidR="003B769C">
        <w:rPr>
          <w:rFonts w:ascii="Times New Roman" w:hAnsi="Times New Roman" w:cs="Times New Roman"/>
          <w:color w:val="000000" w:themeColor="text1"/>
          <w:sz w:val="24"/>
          <w:szCs w:val="24"/>
        </w:rPr>
        <w:t xml:space="preserve"> will facilitate the ground users to optimize the usage of TPC-OHCIS and deliver quality and efficient healthcare to patients.</w:t>
      </w:r>
    </w:p>
    <w:p w:rsidR="0089421F" w:rsidRPr="00186403" w:rsidRDefault="0089421F" w:rsidP="00186403">
      <w:pPr>
        <w:spacing w:line="360" w:lineRule="auto"/>
        <w:rPr>
          <w:rFonts w:ascii="Times New Roman" w:hAnsi="Times New Roman" w:cs="Times New Roman"/>
          <w:color w:val="000000" w:themeColor="text1"/>
          <w:sz w:val="24"/>
          <w:szCs w:val="24"/>
        </w:rPr>
      </w:pPr>
    </w:p>
    <w:p w:rsidR="0089421F" w:rsidRDefault="0089421F" w:rsidP="0089421F">
      <w:r>
        <w:br w:type="page"/>
      </w:r>
    </w:p>
    <w:p w:rsidR="0089421F" w:rsidRPr="008E0689" w:rsidRDefault="0089421F" w:rsidP="0089421F">
      <w:pPr>
        <w:pStyle w:val="Heading1"/>
        <w:rPr>
          <w:rFonts w:ascii="Times New Roman" w:hAnsi="Times New Roman" w:cs="Times New Roman"/>
          <w:b/>
          <w:color w:val="000000" w:themeColor="text1"/>
          <w:sz w:val="24"/>
          <w:szCs w:val="24"/>
        </w:rPr>
      </w:pPr>
      <w:bookmarkStart w:id="13" w:name="_Toc119880505"/>
      <w:r w:rsidRPr="008E0689">
        <w:rPr>
          <w:rFonts w:ascii="Times New Roman" w:hAnsi="Times New Roman" w:cs="Times New Roman"/>
          <w:b/>
          <w:color w:val="000000" w:themeColor="text1"/>
          <w:sz w:val="24"/>
          <w:szCs w:val="24"/>
        </w:rPr>
        <w:lastRenderedPageBreak/>
        <w:t>References</w:t>
      </w:r>
      <w:bookmarkEnd w:id="13"/>
    </w:p>
    <w:p w:rsidR="0089421F" w:rsidRPr="00186403" w:rsidRDefault="0089421F" w:rsidP="0089421F">
      <w:pPr>
        <w:rPr>
          <w:rFonts w:ascii="Times New Roman" w:hAnsi="Times New Roman" w:cs="Times New Roman"/>
          <w:color w:val="000000" w:themeColor="text1"/>
          <w:sz w:val="24"/>
          <w:szCs w:val="24"/>
        </w:rPr>
      </w:pPr>
    </w:p>
    <w:p w:rsidR="001A4833" w:rsidRPr="001A4833" w:rsidRDefault="00F13D77" w:rsidP="0009430F">
      <w:pPr>
        <w:widowControl w:val="0"/>
        <w:autoSpaceDE w:val="0"/>
        <w:autoSpaceDN w:val="0"/>
        <w:adjustRightInd w:val="0"/>
        <w:spacing w:line="240" w:lineRule="auto"/>
        <w:jc w:val="both"/>
        <w:rPr>
          <w:rFonts w:ascii="Times New Roman" w:hAnsi="Times New Roman" w:cs="Times New Roman"/>
          <w:noProof/>
          <w:sz w:val="24"/>
          <w:szCs w:val="24"/>
        </w:rPr>
      </w:pP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 xml:space="preserve">ADDIN Mendeley Bibliography CSL_BIBLIOGRAPHY </w:instrText>
      </w:r>
      <w:r>
        <w:rPr>
          <w:rFonts w:ascii="Times New Roman" w:hAnsi="Times New Roman" w:cs="Times New Roman"/>
          <w:color w:val="000000" w:themeColor="text1"/>
          <w:sz w:val="24"/>
          <w:szCs w:val="24"/>
        </w:rPr>
        <w:fldChar w:fldCharType="separate"/>
      </w:r>
      <w:r w:rsidR="001A4833" w:rsidRPr="001A4833">
        <w:rPr>
          <w:rFonts w:ascii="Times New Roman" w:hAnsi="Times New Roman" w:cs="Times New Roman"/>
          <w:noProof/>
          <w:sz w:val="24"/>
          <w:szCs w:val="24"/>
        </w:rPr>
        <w:t xml:space="preserve">Ahmad, T. </w:t>
      </w:r>
      <w:r w:rsidR="001A4833" w:rsidRPr="00BC2F8C">
        <w:rPr>
          <w:rFonts w:ascii="Times New Roman" w:hAnsi="Times New Roman" w:cs="Times New Roman"/>
          <w:iCs/>
          <w:noProof/>
          <w:sz w:val="24"/>
          <w:szCs w:val="24"/>
        </w:rPr>
        <w:t>et al.</w:t>
      </w:r>
      <w:r w:rsidR="001A4833" w:rsidRPr="001A4833">
        <w:rPr>
          <w:rFonts w:ascii="Times New Roman" w:hAnsi="Times New Roman" w:cs="Times New Roman"/>
          <w:noProof/>
          <w:sz w:val="24"/>
          <w:szCs w:val="24"/>
        </w:rPr>
        <w:t xml:space="preserve"> (2021) ‘REVeAL-HF: Design and Rationale of a Pragmatic Randomized Controlled Trial Embedded Within Routine Clinical Practice’, </w:t>
      </w:r>
      <w:r w:rsidR="001A4833" w:rsidRPr="001A4833">
        <w:rPr>
          <w:rFonts w:ascii="Times New Roman" w:hAnsi="Times New Roman" w:cs="Times New Roman"/>
          <w:i/>
          <w:iCs/>
          <w:noProof/>
          <w:sz w:val="24"/>
          <w:szCs w:val="24"/>
        </w:rPr>
        <w:t>JACC: Heart Failure</w:t>
      </w:r>
      <w:r w:rsidR="001A4833" w:rsidRPr="001A4833">
        <w:rPr>
          <w:rFonts w:ascii="Times New Roman" w:hAnsi="Times New Roman" w:cs="Times New Roman"/>
          <w:noProof/>
          <w:sz w:val="24"/>
          <w:szCs w:val="24"/>
        </w:rPr>
        <w:t>, 9(6), pp. 409–419. doi:10.1016/J.JCHF.2021.03.006.</w:t>
      </w:r>
    </w:p>
    <w:p w:rsidR="001A4833" w:rsidRPr="001A4833" w:rsidRDefault="001A4833" w:rsidP="0009430F">
      <w:pPr>
        <w:widowControl w:val="0"/>
        <w:autoSpaceDE w:val="0"/>
        <w:autoSpaceDN w:val="0"/>
        <w:adjustRightInd w:val="0"/>
        <w:spacing w:line="240" w:lineRule="auto"/>
        <w:jc w:val="both"/>
        <w:rPr>
          <w:rFonts w:ascii="Times New Roman" w:hAnsi="Times New Roman" w:cs="Times New Roman"/>
          <w:noProof/>
          <w:sz w:val="24"/>
          <w:szCs w:val="24"/>
        </w:rPr>
      </w:pPr>
      <w:r w:rsidRPr="001A4833">
        <w:rPr>
          <w:rFonts w:ascii="Times New Roman" w:hAnsi="Times New Roman" w:cs="Times New Roman"/>
          <w:noProof/>
          <w:sz w:val="24"/>
          <w:szCs w:val="24"/>
        </w:rPr>
        <w:t xml:space="preserve">Ajami, S. and ArabChadegani, R. (2013) ‘Barriers to implement Electronic Health Records (EHRs)’, </w:t>
      </w:r>
      <w:r w:rsidRPr="001A4833">
        <w:rPr>
          <w:rFonts w:ascii="Times New Roman" w:hAnsi="Times New Roman" w:cs="Times New Roman"/>
          <w:i/>
          <w:iCs/>
          <w:noProof/>
          <w:sz w:val="24"/>
          <w:szCs w:val="24"/>
        </w:rPr>
        <w:t>Materia Socio Medica</w:t>
      </w:r>
      <w:r w:rsidRPr="001A4833">
        <w:rPr>
          <w:rFonts w:ascii="Times New Roman" w:hAnsi="Times New Roman" w:cs="Times New Roman"/>
          <w:noProof/>
          <w:sz w:val="24"/>
          <w:szCs w:val="24"/>
        </w:rPr>
        <w:t>, 25(3), p. 213. doi:10.5455/msm.2013.25.213-215.</w:t>
      </w:r>
    </w:p>
    <w:p w:rsidR="001A4833" w:rsidRPr="001A4833" w:rsidRDefault="001A4833" w:rsidP="0009430F">
      <w:pPr>
        <w:widowControl w:val="0"/>
        <w:autoSpaceDE w:val="0"/>
        <w:autoSpaceDN w:val="0"/>
        <w:adjustRightInd w:val="0"/>
        <w:spacing w:line="240" w:lineRule="auto"/>
        <w:jc w:val="both"/>
        <w:rPr>
          <w:rFonts w:ascii="Times New Roman" w:hAnsi="Times New Roman" w:cs="Times New Roman"/>
          <w:noProof/>
          <w:sz w:val="24"/>
          <w:szCs w:val="24"/>
        </w:rPr>
      </w:pPr>
      <w:r w:rsidRPr="001A4833">
        <w:rPr>
          <w:rFonts w:ascii="Times New Roman" w:hAnsi="Times New Roman" w:cs="Times New Roman"/>
          <w:noProof/>
          <w:sz w:val="24"/>
          <w:szCs w:val="24"/>
        </w:rPr>
        <w:t xml:space="preserve">Ajami, S. and Bagheri-Tadi, T. (2013) ‘Barriers for adopting electronic health records (EHRs) by physicians’, </w:t>
      </w:r>
      <w:r w:rsidRPr="001A4833">
        <w:rPr>
          <w:rFonts w:ascii="Times New Roman" w:hAnsi="Times New Roman" w:cs="Times New Roman"/>
          <w:i/>
          <w:iCs/>
          <w:noProof/>
          <w:sz w:val="24"/>
          <w:szCs w:val="24"/>
        </w:rPr>
        <w:t>Acta Informatica Medica</w:t>
      </w:r>
      <w:r w:rsidRPr="001A4833">
        <w:rPr>
          <w:rFonts w:ascii="Times New Roman" w:hAnsi="Times New Roman" w:cs="Times New Roman"/>
          <w:noProof/>
          <w:sz w:val="24"/>
          <w:szCs w:val="24"/>
        </w:rPr>
        <w:t>, 21(2), pp. 129–134. doi:10.5455/aim.2013.21.129-134.</w:t>
      </w:r>
    </w:p>
    <w:p w:rsidR="001A4833" w:rsidRPr="001A4833" w:rsidRDefault="001A4833" w:rsidP="0009430F">
      <w:pPr>
        <w:widowControl w:val="0"/>
        <w:autoSpaceDE w:val="0"/>
        <w:autoSpaceDN w:val="0"/>
        <w:adjustRightInd w:val="0"/>
        <w:spacing w:line="240" w:lineRule="auto"/>
        <w:jc w:val="both"/>
        <w:rPr>
          <w:rFonts w:ascii="Times New Roman" w:hAnsi="Times New Roman" w:cs="Times New Roman"/>
          <w:noProof/>
          <w:sz w:val="24"/>
          <w:szCs w:val="24"/>
        </w:rPr>
      </w:pPr>
      <w:r w:rsidRPr="001A4833">
        <w:rPr>
          <w:rFonts w:ascii="Times New Roman" w:hAnsi="Times New Roman" w:cs="Times New Roman"/>
          <w:noProof/>
          <w:sz w:val="24"/>
          <w:szCs w:val="24"/>
        </w:rPr>
        <w:t xml:space="preserve">Bluestone, J. </w:t>
      </w:r>
      <w:r w:rsidRPr="00BC2F8C">
        <w:rPr>
          <w:rFonts w:ascii="Times New Roman" w:hAnsi="Times New Roman" w:cs="Times New Roman"/>
          <w:iCs/>
          <w:noProof/>
          <w:sz w:val="24"/>
          <w:szCs w:val="24"/>
        </w:rPr>
        <w:t>et al.</w:t>
      </w:r>
      <w:r w:rsidRPr="001A4833">
        <w:rPr>
          <w:rFonts w:ascii="Times New Roman" w:hAnsi="Times New Roman" w:cs="Times New Roman"/>
          <w:noProof/>
          <w:sz w:val="24"/>
          <w:szCs w:val="24"/>
        </w:rPr>
        <w:t xml:space="preserve"> (2021) ‘It’s time to move beyond traditional health careworker training approaches’, </w:t>
      </w:r>
      <w:r w:rsidRPr="001A4833">
        <w:rPr>
          <w:rFonts w:ascii="Times New Roman" w:hAnsi="Times New Roman" w:cs="Times New Roman"/>
          <w:i/>
          <w:iCs/>
          <w:noProof/>
          <w:sz w:val="24"/>
          <w:szCs w:val="24"/>
        </w:rPr>
        <w:t>Global Health Science and Practice</w:t>
      </w:r>
      <w:r w:rsidRPr="001A4833">
        <w:rPr>
          <w:rFonts w:ascii="Times New Roman" w:hAnsi="Times New Roman" w:cs="Times New Roman"/>
          <w:noProof/>
          <w:sz w:val="24"/>
          <w:szCs w:val="24"/>
        </w:rPr>
        <w:t>, 9(3), pp. 431–432. doi:10.9745/GHSP-D-21-00553.</w:t>
      </w:r>
    </w:p>
    <w:p w:rsidR="001A4833" w:rsidRPr="001A4833" w:rsidRDefault="001A4833" w:rsidP="0009430F">
      <w:pPr>
        <w:widowControl w:val="0"/>
        <w:autoSpaceDE w:val="0"/>
        <w:autoSpaceDN w:val="0"/>
        <w:adjustRightInd w:val="0"/>
        <w:spacing w:line="240" w:lineRule="auto"/>
        <w:jc w:val="both"/>
        <w:rPr>
          <w:rFonts w:ascii="Times New Roman" w:hAnsi="Times New Roman" w:cs="Times New Roman"/>
          <w:noProof/>
          <w:sz w:val="24"/>
          <w:szCs w:val="24"/>
        </w:rPr>
      </w:pPr>
      <w:r w:rsidRPr="001A4833">
        <w:rPr>
          <w:rFonts w:ascii="Times New Roman" w:hAnsi="Times New Roman" w:cs="Times New Roman"/>
          <w:noProof/>
          <w:sz w:val="24"/>
          <w:szCs w:val="24"/>
        </w:rPr>
        <w:t xml:space="preserve">Boonstra, A. and Broekhuis, M. (2010) ‘Barriers to the acceptance of electronic medical records by physicians from systematic review to taxonomy and interventions’, </w:t>
      </w:r>
      <w:r w:rsidRPr="001A4833">
        <w:rPr>
          <w:rFonts w:ascii="Times New Roman" w:hAnsi="Times New Roman" w:cs="Times New Roman"/>
          <w:i/>
          <w:iCs/>
          <w:noProof/>
          <w:sz w:val="24"/>
          <w:szCs w:val="24"/>
        </w:rPr>
        <w:t>BMC Health Services Research</w:t>
      </w:r>
      <w:r w:rsidRPr="001A4833">
        <w:rPr>
          <w:rFonts w:ascii="Times New Roman" w:hAnsi="Times New Roman" w:cs="Times New Roman"/>
          <w:noProof/>
          <w:sz w:val="24"/>
          <w:szCs w:val="24"/>
        </w:rPr>
        <w:t>, 10. doi:10.1186/1472-6963-10-231.</w:t>
      </w:r>
    </w:p>
    <w:p w:rsidR="001A4833" w:rsidRPr="001A4833" w:rsidRDefault="001A4833" w:rsidP="0009430F">
      <w:pPr>
        <w:widowControl w:val="0"/>
        <w:autoSpaceDE w:val="0"/>
        <w:autoSpaceDN w:val="0"/>
        <w:adjustRightInd w:val="0"/>
        <w:spacing w:line="240" w:lineRule="auto"/>
        <w:jc w:val="both"/>
        <w:rPr>
          <w:rFonts w:ascii="Times New Roman" w:hAnsi="Times New Roman" w:cs="Times New Roman"/>
          <w:noProof/>
          <w:sz w:val="24"/>
          <w:szCs w:val="24"/>
        </w:rPr>
      </w:pPr>
      <w:r w:rsidRPr="001A4833">
        <w:rPr>
          <w:rFonts w:ascii="Times New Roman" w:hAnsi="Times New Roman" w:cs="Times New Roman"/>
          <w:noProof/>
          <w:sz w:val="24"/>
          <w:szCs w:val="24"/>
        </w:rPr>
        <w:t xml:space="preserve">Ghani, M.K.A. </w:t>
      </w:r>
      <w:r w:rsidRPr="00BC2F8C">
        <w:rPr>
          <w:rFonts w:ascii="Times New Roman" w:hAnsi="Times New Roman" w:cs="Times New Roman"/>
          <w:iCs/>
          <w:noProof/>
          <w:sz w:val="24"/>
          <w:szCs w:val="24"/>
        </w:rPr>
        <w:t>et al.</w:t>
      </w:r>
      <w:r w:rsidRPr="001A4833">
        <w:rPr>
          <w:rFonts w:ascii="Times New Roman" w:hAnsi="Times New Roman" w:cs="Times New Roman"/>
          <w:noProof/>
          <w:sz w:val="24"/>
          <w:szCs w:val="24"/>
        </w:rPr>
        <w:t xml:space="preserve"> (2008) ‘Electronic health records approaches and challenges: A comparison between Malaysia and four East Asian countries’, </w:t>
      </w:r>
      <w:r w:rsidRPr="001A4833">
        <w:rPr>
          <w:rFonts w:ascii="Times New Roman" w:hAnsi="Times New Roman" w:cs="Times New Roman"/>
          <w:i/>
          <w:iCs/>
          <w:noProof/>
          <w:sz w:val="24"/>
          <w:szCs w:val="24"/>
        </w:rPr>
        <w:t>International Journal of Electronic Healthcare</w:t>
      </w:r>
      <w:r w:rsidRPr="001A4833">
        <w:rPr>
          <w:rFonts w:ascii="Times New Roman" w:hAnsi="Times New Roman" w:cs="Times New Roman"/>
          <w:noProof/>
          <w:sz w:val="24"/>
          <w:szCs w:val="24"/>
        </w:rPr>
        <w:t>, 4(1), pp. 78–104. doi:10.1504/IJEH.2008.018922.</w:t>
      </w:r>
    </w:p>
    <w:p w:rsidR="001A4833" w:rsidRPr="001A4833" w:rsidRDefault="001A4833" w:rsidP="0009430F">
      <w:pPr>
        <w:widowControl w:val="0"/>
        <w:autoSpaceDE w:val="0"/>
        <w:autoSpaceDN w:val="0"/>
        <w:adjustRightInd w:val="0"/>
        <w:spacing w:line="240" w:lineRule="auto"/>
        <w:jc w:val="both"/>
        <w:rPr>
          <w:rFonts w:ascii="Times New Roman" w:hAnsi="Times New Roman" w:cs="Times New Roman"/>
          <w:noProof/>
          <w:sz w:val="24"/>
          <w:szCs w:val="24"/>
        </w:rPr>
      </w:pPr>
      <w:r w:rsidRPr="001A4833">
        <w:rPr>
          <w:rFonts w:ascii="Times New Roman" w:hAnsi="Times New Roman" w:cs="Times New Roman"/>
          <w:noProof/>
          <w:sz w:val="24"/>
          <w:szCs w:val="24"/>
        </w:rPr>
        <w:t xml:space="preserve">Grinspan, Z.M. </w:t>
      </w:r>
      <w:r w:rsidRPr="00BC2F8C">
        <w:rPr>
          <w:rFonts w:ascii="Times New Roman" w:hAnsi="Times New Roman" w:cs="Times New Roman"/>
          <w:iCs/>
          <w:noProof/>
          <w:sz w:val="24"/>
          <w:szCs w:val="24"/>
        </w:rPr>
        <w:t>et al.</w:t>
      </w:r>
      <w:r w:rsidRPr="001A4833">
        <w:rPr>
          <w:rFonts w:ascii="Times New Roman" w:hAnsi="Times New Roman" w:cs="Times New Roman"/>
          <w:noProof/>
          <w:sz w:val="24"/>
          <w:szCs w:val="24"/>
        </w:rPr>
        <w:t xml:space="preserve"> (2013) ‘Physician specialty and variations in adoption of electronic health records’, </w:t>
      </w:r>
      <w:r w:rsidRPr="001A4833">
        <w:rPr>
          <w:rFonts w:ascii="Times New Roman" w:hAnsi="Times New Roman" w:cs="Times New Roman"/>
          <w:i/>
          <w:iCs/>
          <w:noProof/>
          <w:sz w:val="24"/>
          <w:szCs w:val="24"/>
        </w:rPr>
        <w:t>Applied Clinical Informatics</w:t>
      </w:r>
      <w:r w:rsidRPr="001A4833">
        <w:rPr>
          <w:rFonts w:ascii="Times New Roman" w:hAnsi="Times New Roman" w:cs="Times New Roman"/>
          <w:noProof/>
          <w:sz w:val="24"/>
          <w:szCs w:val="24"/>
        </w:rPr>
        <w:t>, 4(2), pp. 225–240. doi:10.4338/ACI-2013-02-RA-0015.</w:t>
      </w:r>
    </w:p>
    <w:p w:rsidR="001A4833" w:rsidRPr="001A4833" w:rsidRDefault="001A4833" w:rsidP="0009430F">
      <w:pPr>
        <w:widowControl w:val="0"/>
        <w:autoSpaceDE w:val="0"/>
        <w:autoSpaceDN w:val="0"/>
        <w:adjustRightInd w:val="0"/>
        <w:spacing w:line="240" w:lineRule="auto"/>
        <w:jc w:val="both"/>
        <w:rPr>
          <w:rFonts w:ascii="Times New Roman" w:hAnsi="Times New Roman" w:cs="Times New Roman"/>
          <w:noProof/>
          <w:sz w:val="24"/>
          <w:szCs w:val="24"/>
        </w:rPr>
      </w:pPr>
      <w:r w:rsidRPr="001A4833">
        <w:rPr>
          <w:rFonts w:ascii="Times New Roman" w:hAnsi="Times New Roman" w:cs="Times New Roman"/>
          <w:noProof/>
          <w:sz w:val="24"/>
          <w:szCs w:val="24"/>
        </w:rPr>
        <w:t xml:space="preserve">Jacob, P.D. (2020) ‘Management of patient healthcare information: Healthcare-related information flow, access, and availability’, </w:t>
      </w:r>
      <w:r w:rsidRPr="001A4833">
        <w:rPr>
          <w:rFonts w:ascii="Times New Roman" w:hAnsi="Times New Roman" w:cs="Times New Roman"/>
          <w:i/>
          <w:iCs/>
          <w:noProof/>
          <w:sz w:val="24"/>
          <w:szCs w:val="24"/>
        </w:rPr>
        <w:t>Fundamentals of Telemedicine and Telehealth</w:t>
      </w:r>
      <w:r w:rsidRPr="001A4833">
        <w:rPr>
          <w:rFonts w:ascii="Times New Roman" w:hAnsi="Times New Roman" w:cs="Times New Roman"/>
          <w:noProof/>
          <w:sz w:val="24"/>
          <w:szCs w:val="24"/>
        </w:rPr>
        <w:t>, pp. 35–57. doi:10.1016/B978-0-12-814309-4.00003-3.</w:t>
      </w:r>
    </w:p>
    <w:p w:rsidR="001A4833" w:rsidRPr="001A4833" w:rsidRDefault="001A4833" w:rsidP="0009430F">
      <w:pPr>
        <w:widowControl w:val="0"/>
        <w:autoSpaceDE w:val="0"/>
        <w:autoSpaceDN w:val="0"/>
        <w:adjustRightInd w:val="0"/>
        <w:spacing w:line="240" w:lineRule="auto"/>
        <w:jc w:val="both"/>
        <w:rPr>
          <w:rFonts w:ascii="Times New Roman" w:hAnsi="Times New Roman" w:cs="Times New Roman"/>
          <w:noProof/>
          <w:sz w:val="24"/>
          <w:szCs w:val="24"/>
        </w:rPr>
      </w:pPr>
      <w:r w:rsidRPr="001A4833">
        <w:rPr>
          <w:rFonts w:ascii="Times New Roman" w:hAnsi="Times New Roman" w:cs="Times New Roman"/>
          <w:noProof/>
          <w:sz w:val="24"/>
          <w:szCs w:val="24"/>
        </w:rPr>
        <w:t xml:space="preserve">Jha, A.K. </w:t>
      </w:r>
      <w:r w:rsidRPr="00BC2F8C">
        <w:rPr>
          <w:rFonts w:ascii="Times New Roman" w:hAnsi="Times New Roman" w:cs="Times New Roman"/>
          <w:iCs/>
          <w:noProof/>
          <w:sz w:val="24"/>
          <w:szCs w:val="24"/>
        </w:rPr>
        <w:t>et al.</w:t>
      </w:r>
      <w:r w:rsidRPr="001A4833">
        <w:rPr>
          <w:rFonts w:ascii="Times New Roman" w:hAnsi="Times New Roman" w:cs="Times New Roman"/>
          <w:noProof/>
          <w:sz w:val="24"/>
          <w:szCs w:val="24"/>
        </w:rPr>
        <w:t xml:space="preserve"> (2009) ‘Electronic health records: use, barriers and satisfaction among physicians who care for black and Hispanic patients’, </w:t>
      </w:r>
      <w:r w:rsidRPr="001A4833">
        <w:rPr>
          <w:rFonts w:ascii="Times New Roman" w:hAnsi="Times New Roman" w:cs="Times New Roman"/>
          <w:i/>
          <w:iCs/>
          <w:noProof/>
          <w:sz w:val="24"/>
          <w:szCs w:val="24"/>
        </w:rPr>
        <w:t>Journal of evaluation in clinical practice</w:t>
      </w:r>
      <w:r w:rsidRPr="001A4833">
        <w:rPr>
          <w:rFonts w:ascii="Times New Roman" w:hAnsi="Times New Roman" w:cs="Times New Roman"/>
          <w:noProof/>
          <w:sz w:val="24"/>
          <w:szCs w:val="24"/>
        </w:rPr>
        <w:t>, 15(1), pp. 158–163. doi:10.1111/J.1365-2753.2008.00975.X.</w:t>
      </w:r>
    </w:p>
    <w:p w:rsidR="001A4833" w:rsidRPr="001A4833" w:rsidRDefault="001A4833" w:rsidP="0009430F">
      <w:pPr>
        <w:widowControl w:val="0"/>
        <w:autoSpaceDE w:val="0"/>
        <w:autoSpaceDN w:val="0"/>
        <w:adjustRightInd w:val="0"/>
        <w:spacing w:line="240" w:lineRule="auto"/>
        <w:jc w:val="both"/>
        <w:rPr>
          <w:rFonts w:ascii="Times New Roman" w:hAnsi="Times New Roman" w:cs="Times New Roman"/>
          <w:noProof/>
          <w:sz w:val="24"/>
          <w:szCs w:val="24"/>
        </w:rPr>
      </w:pPr>
      <w:r w:rsidRPr="001A4833">
        <w:rPr>
          <w:rFonts w:ascii="Times New Roman" w:hAnsi="Times New Roman" w:cs="Times New Roman"/>
          <w:noProof/>
          <w:sz w:val="24"/>
          <w:szCs w:val="24"/>
        </w:rPr>
        <w:t xml:space="preserve">Knutson, A. </w:t>
      </w:r>
      <w:r w:rsidRPr="00BC2F8C">
        <w:rPr>
          <w:rFonts w:ascii="Times New Roman" w:hAnsi="Times New Roman" w:cs="Times New Roman"/>
          <w:iCs/>
          <w:noProof/>
          <w:sz w:val="24"/>
          <w:szCs w:val="24"/>
        </w:rPr>
        <w:t>et al.</w:t>
      </w:r>
      <w:r w:rsidRPr="001A4833">
        <w:rPr>
          <w:rFonts w:ascii="Times New Roman" w:hAnsi="Times New Roman" w:cs="Times New Roman"/>
          <w:noProof/>
          <w:sz w:val="24"/>
          <w:szCs w:val="24"/>
        </w:rPr>
        <w:t xml:space="preserve"> (2015) ‘Just-in-time training: a novel approach to quality improvement education’, </w:t>
      </w:r>
      <w:r w:rsidRPr="001A4833">
        <w:rPr>
          <w:rFonts w:ascii="Times New Roman" w:hAnsi="Times New Roman" w:cs="Times New Roman"/>
          <w:i/>
          <w:iCs/>
          <w:noProof/>
          <w:sz w:val="24"/>
          <w:szCs w:val="24"/>
        </w:rPr>
        <w:t>connect.springerpub.com</w:t>
      </w:r>
      <w:r w:rsidRPr="001A4833">
        <w:rPr>
          <w:rFonts w:ascii="Times New Roman" w:hAnsi="Times New Roman" w:cs="Times New Roman"/>
          <w:noProof/>
          <w:sz w:val="24"/>
          <w:szCs w:val="24"/>
        </w:rPr>
        <w:t>, 34(1). doi:10.1891/0730-0832.34.1.6.</w:t>
      </w:r>
    </w:p>
    <w:p w:rsidR="001A4833" w:rsidRPr="001A4833" w:rsidRDefault="001A4833" w:rsidP="0009430F">
      <w:pPr>
        <w:widowControl w:val="0"/>
        <w:autoSpaceDE w:val="0"/>
        <w:autoSpaceDN w:val="0"/>
        <w:adjustRightInd w:val="0"/>
        <w:spacing w:line="240" w:lineRule="auto"/>
        <w:jc w:val="both"/>
        <w:rPr>
          <w:rFonts w:ascii="Times New Roman" w:hAnsi="Times New Roman" w:cs="Times New Roman"/>
          <w:noProof/>
          <w:sz w:val="24"/>
          <w:szCs w:val="24"/>
        </w:rPr>
      </w:pPr>
      <w:r w:rsidRPr="001A4833">
        <w:rPr>
          <w:rFonts w:ascii="Times New Roman" w:hAnsi="Times New Roman" w:cs="Times New Roman"/>
          <w:noProof/>
          <w:sz w:val="24"/>
          <w:szCs w:val="24"/>
        </w:rPr>
        <w:t xml:space="preserve">Kohli, R. and SSL Tan (2016) ‘Electronic Health Records’, </w:t>
      </w:r>
      <w:r w:rsidRPr="001A4833">
        <w:rPr>
          <w:rFonts w:ascii="Times New Roman" w:hAnsi="Times New Roman" w:cs="Times New Roman"/>
          <w:i/>
          <w:iCs/>
          <w:noProof/>
          <w:sz w:val="24"/>
          <w:szCs w:val="24"/>
        </w:rPr>
        <w:t>JSTOR</w:t>
      </w:r>
      <w:r w:rsidRPr="001A4833">
        <w:rPr>
          <w:rFonts w:ascii="Times New Roman" w:hAnsi="Times New Roman" w:cs="Times New Roman"/>
          <w:noProof/>
          <w:sz w:val="24"/>
          <w:szCs w:val="24"/>
        </w:rPr>
        <w:t>, 40(3), p. 22. Available at: https://www.jstor.org/stable/26629027 (Accessed: 30 October 2022).</w:t>
      </w:r>
    </w:p>
    <w:p w:rsidR="001A4833" w:rsidRPr="001A4833" w:rsidRDefault="001A4833" w:rsidP="0009430F">
      <w:pPr>
        <w:widowControl w:val="0"/>
        <w:autoSpaceDE w:val="0"/>
        <w:autoSpaceDN w:val="0"/>
        <w:adjustRightInd w:val="0"/>
        <w:spacing w:line="240" w:lineRule="auto"/>
        <w:jc w:val="both"/>
        <w:rPr>
          <w:rFonts w:ascii="Times New Roman" w:hAnsi="Times New Roman" w:cs="Times New Roman"/>
          <w:noProof/>
          <w:sz w:val="24"/>
          <w:szCs w:val="24"/>
        </w:rPr>
      </w:pPr>
      <w:r w:rsidRPr="001A4833">
        <w:rPr>
          <w:rFonts w:ascii="Times New Roman" w:hAnsi="Times New Roman" w:cs="Times New Roman"/>
          <w:noProof/>
          <w:sz w:val="24"/>
          <w:szCs w:val="24"/>
        </w:rPr>
        <w:t xml:space="preserve">Kruse, C.S. </w:t>
      </w:r>
      <w:r w:rsidRPr="00BC2F8C">
        <w:rPr>
          <w:rFonts w:ascii="Times New Roman" w:hAnsi="Times New Roman" w:cs="Times New Roman"/>
          <w:iCs/>
          <w:noProof/>
          <w:sz w:val="24"/>
          <w:szCs w:val="24"/>
        </w:rPr>
        <w:t>et al.</w:t>
      </w:r>
      <w:r w:rsidRPr="001A4833">
        <w:rPr>
          <w:rFonts w:ascii="Times New Roman" w:hAnsi="Times New Roman" w:cs="Times New Roman"/>
          <w:noProof/>
          <w:sz w:val="24"/>
          <w:szCs w:val="24"/>
        </w:rPr>
        <w:t xml:space="preserve"> (2016) ‘Barriers to Electronic Health Record Adoption: a Systematic Literature Review’, </w:t>
      </w:r>
      <w:r w:rsidRPr="001A4833">
        <w:rPr>
          <w:rFonts w:ascii="Times New Roman" w:hAnsi="Times New Roman" w:cs="Times New Roman"/>
          <w:i/>
          <w:iCs/>
          <w:noProof/>
          <w:sz w:val="24"/>
          <w:szCs w:val="24"/>
        </w:rPr>
        <w:t>Journal of Medical Systems</w:t>
      </w:r>
      <w:r w:rsidRPr="001A4833">
        <w:rPr>
          <w:rFonts w:ascii="Times New Roman" w:hAnsi="Times New Roman" w:cs="Times New Roman"/>
          <w:noProof/>
          <w:sz w:val="24"/>
          <w:szCs w:val="24"/>
        </w:rPr>
        <w:t>, 40(12). doi:10.1007/s10916-016-0628-9.</w:t>
      </w:r>
    </w:p>
    <w:p w:rsidR="001A4833" w:rsidRPr="001A4833" w:rsidRDefault="001A4833" w:rsidP="0009430F">
      <w:pPr>
        <w:widowControl w:val="0"/>
        <w:autoSpaceDE w:val="0"/>
        <w:autoSpaceDN w:val="0"/>
        <w:adjustRightInd w:val="0"/>
        <w:spacing w:line="240" w:lineRule="auto"/>
        <w:jc w:val="both"/>
        <w:rPr>
          <w:rFonts w:ascii="Times New Roman" w:hAnsi="Times New Roman" w:cs="Times New Roman"/>
          <w:noProof/>
          <w:sz w:val="24"/>
          <w:szCs w:val="24"/>
        </w:rPr>
      </w:pPr>
      <w:r w:rsidRPr="001A4833">
        <w:rPr>
          <w:rFonts w:ascii="Times New Roman" w:hAnsi="Times New Roman" w:cs="Times New Roman"/>
          <w:noProof/>
          <w:sz w:val="24"/>
          <w:szCs w:val="24"/>
        </w:rPr>
        <w:t xml:space="preserve">Leong, K. </w:t>
      </w:r>
      <w:r w:rsidRPr="00BC2F8C">
        <w:rPr>
          <w:rFonts w:ascii="Times New Roman" w:hAnsi="Times New Roman" w:cs="Times New Roman"/>
          <w:iCs/>
          <w:noProof/>
          <w:sz w:val="24"/>
          <w:szCs w:val="24"/>
        </w:rPr>
        <w:t>et al.</w:t>
      </w:r>
      <w:r w:rsidRPr="001A4833">
        <w:rPr>
          <w:rFonts w:ascii="Times New Roman" w:hAnsi="Times New Roman" w:cs="Times New Roman"/>
          <w:noProof/>
          <w:sz w:val="24"/>
          <w:szCs w:val="24"/>
        </w:rPr>
        <w:t xml:space="preserve"> (2021) ‘A review of the trend of microlearning’, </w:t>
      </w:r>
      <w:r w:rsidRPr="001A4833">
        <w:rPr>
          <w:rFonts w:ascii="Times New Roman" w:hAnsi="Times New Roman" w:cs="Times New Roman"/>
          <w:i/>
          <w:iCs/>
          <w:noProof/>
          <w:sz w:val="24"/>
          <w:szCs w:val="24"/>
        </w:rPr>
        <w:t>Journal of Work-Applied Management</w:t>
      </w:r>
      <w:r w:rsidRPr="001A4833">
        <w:rPr>
          <w:rFonts w:ascii="Times New Roman" w:hAnsi="Times New Roman" w:cs="Times New Roman"/>
          <w:noProof/>
          <w:sz w:val="24"/>
          <w:szCs w:val="24"/>
        </w:rPr>
        <w:t>, 13(1), pp. 88–102. doi:10.1108/JWAM-10-2020-0044/FULL/HTML.</w:t>
      </w:r>
    </w:p>
    <w:p w:rsidR="001A4833" w:rsidRPr="001A4833" w:rsidRDefault="001A4833" w:rsidP="0009430F">
      <w:pPr>
        <w:widowControl w:val="0"/>
        <w:autoSpaceDE w:val="0"/>
        <w:autoSpaceDN w:val="0"/>
        <w:adjustRightInd w:val="0"/>
        <w:spacing w:line="240" w:lineRule="auto"/>
        <w:jc w:val="both"/>
        <w:rPr>
          <w:rFonts w:ascii="Times New Roman" w:hAnsi="Times New Roman" w:cs="Times New Roman"/>
          <w:noProof/>
          <w:sz w:val="24"/>
          <w:szCs w:val="24"/>
        </w:rPr>
      </w:pPr>
      <w:r w:rsidRPr="001A4833">
        <w:rPr>
          <w:rFonts w:ascii="Times New Roman" w:hAnsi="Times New Roman" w:cs="Times New Roman"/>
          <w:noProof/>
          <w:sz w:val="24"/>
          <w:szCs w:val="24"/>
        </w:rPr>
        <w:t xml:space="preserve">Lorenzi, N.M. and Riley, R.T. (2000) ‘Managing change: An overview’, </w:t>
      </w:r>
      <w:r w:rsidRPr="001A4833">
        <w:rPr>
          <w:rFonts w:ascii="Times New Roman" w:hAnsi="Times New Roman" w:cs="Times New Roman"/>
          <w:i/>
          <w:iCs/>
          <w:noProof/>
          <w:sz w:val="24"/>
          <w:szCs w:val="24"/>
        </w:rPr>
        <w:t>Journal of the American Medical Informatics Association</w:t>
      </w:r>
      <w:r w:rsidRPr="001A4833">
        <w:rPr>
          <w:rFonts w:ascii="Times New Roman" w:hAnsi="Times New Roman" w:cs="Times New Roman"/>
          <w:noProof/>
          <w:sz w:val="24"/>
          <w:szCs w:val="24"/>
        </w:rPr>
        <w:t>, 7(2), pp. 116–124. doi:10.1136/jamia.2000.0070116.</w:t>
      </w:r>
    </w:p>
    <w:p w:rsidR="001A4833" w:rsidRPr="001A4833" w:rsidRDefault="001A4833" w:rsidP="0009430F">
      <w:pPr>
        <w:widowControl w:val="0"/>
        <w:autoSpaceDE w:val="0"/>
        <w:autoSpaceDN w:val="0"/>
        <w:adjustRightInd w:val="0"/>
        <w:spacing w:line="240" w:lineRule="auto"/>
        <w:jc w:val="both"/>
        <w:rPr>
          <w:rFonts w:ascii="Times New Roman" w:hAnsi="Times New Roman" w:cs="Times New Roman"/>
          <w:noProof/>
          <w:sz w:val="24"/>
          <w:szCs w:val="24"/>
        </w:rPr>
      </w:pPr>
      <w:r w:rsidRPr="001A4833">
        <w:rPr>
          <w:rFonts w:ascii="Times New Roman" w:hAnsi="Times New Roman" w:cs="Times New Roman"/>
          <w:noProof/>
          <w:sz w:val="24"/>
          <w:szCs w:val="24"/>
        </w:rPr>
        <w:t xml:space="preserve">Ludwick, D.A. and Doucette, J. (2009) ‘Primary Care Physicians’ Experience with Electronic Medical Records: Barriers to Implementation in a Fee-for-Service Environment’, </w:t>
      </w:r>
      <w:r w:rsidRPr="001A4833">
        <w:rPr>
          <w:rFonts w:ascii="Times New Roman" w:hAnsi="Times New Roman" w:cs="Times New Roman"/>
          <w:i/>
          <w:iCs/>
          <w:noProof/>
          <w:sz w:val="24"/>
          <w:szCs w:val="24"/>
        </w:rPr>
        <w:t xml:space="preserve">International </w:t>
      </w:r>
      <w:r w:rsidRPr="001A4833">
        <w:rPr>
          <w:rFonts w:ascii="Times New Roman" w:hAnsi="Times New Roman" w:cs="Times New Roman"/>
          <w:i/>
          <w:iCs/>
          <w:noProof/>
          <w:sz w:val="24"/>
          <w:szCs w:val="24"/>
        </w:rPr>
        <w:lastRenderedPageBreak/>
        <w:t>journal of telemedicine and applications</w:t>
      </w:r>
      <w:r w:rsidRPr="001A4833">
        <w:rPr>
          <w:rFonts w:ascii="Times New Roman" w:hAnsi="Times New Roman" w:cs="Times New Roman"/>
          <w:noProof/>
          <w:sz w:val="24"/>
          <w:szCs w:val="24"/>
        </w:rPr>
        <w:t>, 2009. doi:10.1155/2009/853524.</w:t>
      </w:r>
    </w:p>
    <w:p w:rsidR="001A4833" w:rsidRPr="001A4833" w:rsidRDefault="001A4833" w:rsidP="0009430F">
      <w:pPr>
        <w:widowControl w:val="0"/>
        <w:autoSpaceDE w:val="0"/>
        <w:autoSpaceDN w:val="0"/>
        <w:adjustRightInd w:val="0"/>
        <w:spacing w:line="240" w:lineRule="auto"/>
        <w:jc w:val="both"/>
        <w:rPr>
          <w:rFonts w:ascii="Times New Roman" w:hAnsi="Times New Roman" w:cs="Times New Roman"/>
          <w:noProof/>
          <w:sz w:val="24"/>
          <w:szCs w:val="24"/>
        </w:rPr>
      </w:pPr>
      <w:r w:rsidRPr="001A4833">
        <w:rPr>
          <w:rFonts w:ascii="Times New Roman" w:hAnsi="Times New Roman" w:cs="Times New Roman"/>
          <w:noProof/>
          <w:sz w:val="24"/>
          <w:szCs w:val="24"/>
        </w:rPr>
        <w:t xml:space="preserve">M Sambataro (2000) </w:t>
      </w:r>
      <w:r w:rsidRPr="001A4833">
        <w:rPr>
          <w:rFonts w:ascii="Times New Roman" w:hAnsi="Times New Roman" w:cs="Times New Roman"/>
          <w:i/>
          <w:iCs/>
          <w:noProof/>
          <w:sz w:val="24"/>
          <w:szCs w:val="24"/>
        </w:rPr>
        <w:t>Just-in-time learning</w:t>
      </w:r>
      <w:r w:rsidRPr="001A4833">
        <w:rPr>
          <w:rFonts w:ascii="Times New Roman" w:hAnsi="Times New Roman" w:cs="Times New Roman"/>
          <w:noProof/>
          <w:sz w:val="24"/>
          <w:szCs w:val="24"/>
        </w:rPr>
        <w:t xml:space="preserve">, </w:t>
      </w:r>
      <w:r w:rsidRPr="001A4833">
        <w:rPr>
          <w:rFonts w:ascii="Times New Roman" w:hAnsi="Times New Roman" w:cs="Times New Roman"/>
          <w:i/>
          <w:iCs/>
          <w:noProof/>
          <w:sz w:val="24"/>
          <w:szCs w:val="24"/>
        </w:rPr>
        <w:t>Computerworld</w:t>
      </w:r>
      <w:r w:rsidRPr="001A4833">
        <w:rPr>
          <w:rFonts w:ascii="Times New Roman" w:hAnsi="Times New Roman" w:cs="Times New Roman"/>
          <w:noProof/>
          <w:sz w:val="24"/>
          <w:szCs w:val="24"/>
        </w:rPr>
        <w:t>. Available at: https://scholar.google.com/scholar?hl=en&amp;as_sdt=0%2C5&amp;q=Just-in-time+learning+M+Sambataro%2C+2000&amp;btnG= (Accessed: 1 November 2022).</w:t>
      </w:r>
    </w:p>
    <w:p w:rsidR="001A4833" w:rsidRPr="001A4833" w:rsidRDefault="001A4833" w:rsidP="0009430F">
      <w:pPr>
        <w:widowControl w:val="0"/>
        <w:autoSpaceDE w:val="0"/>
        <w:autoSpaceDN w:val="0"/>
        <w:adjustRightInd w:val="0"/>
        <w:spacing w:line="240" w:lineRule="auto"/>
        <w:jc w:val="both"/>
        <w:rPr>
          <w:rFonts w:ascii="Times New Roman" w:hAnsi="Times New Roman" w:cs="Times New Roman"/>
          <w:noProof/>
          <w:sz w:val="24"/>
          <w:szCs w:val="24"/>
        </w:rPr>
      </w:pPr>
      <w:r w:rsidRPr="001A4833">
        <w:rPr>
          <w:rFonts w:ascii="Times New Roman" w:hAnsi="Times New Roman" w:cs="Times New Roman"/>
          <w:noProof/>
          <w:sz w:val="24"/>
          <w:szCs w:val="24"/>
        </w:rPr>
        <w:t xml:space="preserve">Meade, B., Buckley, D. and Boland, M. (2009) ‘What factors affect the use of electronic patient records by Irish GPs?’, </w:t>
      </w:r>
      <w:r w:rsidRPr="001A4833">
        <w:rPr>
          <w:rFonts w:ascii="Times New Roman" w:hAnsi="Times New Roman" w:cs="Times New Roman"/>
          <w:i/>
          <w:iCs/>
          <w:noProof/>
          <w:sz w:val="24"/>
          <w:szCs w:val="24"/>
        </w:rPr>
        <w:t>International journal of medical informatics</w:t>
      </w:r>
      <w:r w:rsidRPr="001A4833">
        <w:rPr>
          <w:rFonts w:ascii="Times New Roman" w:hAnsi="Times New Roman" w:cs="Times New Roman"/>
          <w:noProof/>
          <w:sz w:val="24"/>
          <w:szCs w:val="24"/>
        </w:rPr>
        <w:t>, 78(8), pp. 551–558. doi:10.1016/J.IJMEDINF.2009.03.004.</w:t>
      </w:r>
    </w:p>
    <w:p w:rsidR="001A4833" w:rsidRPr="001A4833" w:rsidRDefault="001A4833" w:rsidP="0009430F">
      <w:pPr>
        <w:widowControl w:val="0"/>
        <w:autoSpaceDE w:val="0"/>
        <w:autoSpaceDN w:val="0"/>
        <w:adjustRightInd w:val="0"/>
        <w:spacing w:line="240" w:lineRule="auto"/>
        <w:jc w:val="both"/>
        <w:rPr>
          <w:rFonts w:ascii="Times New Roman" w:hAnsi="Times New Roman" w:cs="Times New Roman"/>
          <w:noProof/>
          <w:sz w:val="24"/>
          <w:szCs w:val="24"/>
        </w:rPr>
      </w:pPr>
      <w:r w:rsidRPr="001A4833">
        <w:rPr>
          <w:rFonts w:ascii="Times New Roman" w:hAnsi="Times New Roman" w:cs="Times New Roman"/>
          <w:noProof/>
          <w:sz w:val="24"/>
          <w:szCs w:val="24"/>
        </w:rPr>
        <w:t xml:space="preserve">Ministry of Health Malaysia (2021) </w:t>
      </w:r>
      <w:r w:rsidRPr="001A4833">
        <w:rPr>
          <w:rFonts w:ascii="Times New Roman" w:hAnsi="Times New Roman" w:cs="Times New Roman"/>
          <w:i/>
          <w:iCs/>
          <w:noProof/>
          <w:sz w:val="24"/>
          <w:szCs w:val="24"/>
        </w:rPr>
        <w:t>Digitalization Strategic Plan 2021-2025</w:t>
      </w:r>
      <w:r w:rsidRPr="001A4833">
        <w:rPr>
          <w:rFonts w:ascii="Times New Roman" w:hAnsi="Times New Roman" w:cs="Times New Roman"/>
          <w:noProof/>
          <w:sz w:val="24"/>
          <w:szCs w:val="24"/>
        </w:rPr>
        <w:t>. Putrajaya.</w:t>
      </w:r>
    </w:p>
    <w:p w:rsidR="001A4833" w:rsidRPr="001A4833" w:rsidRDefault="001A4833" w:rsidP="0009430F">
      <w:pPr>
        <w:widowControl w:val="0"/>
        <w:autoSpaceDE w:val="0"/>
        <w:autoSpaceDN w:val="0"/>
        <w:adjustRightInd w:val="0"/>
        <w:spacing w:line="240" w:lineRule="auto"/>
        <w:jc w:val="both"/>
        <w:rPr>
          <w:rFonts w:ascii="Times New Roman" w:hAnsi="Times New Roman" w:cs="Times New Roman"/>
          <w:noProof/>
          <w:sz w:val="24"/>
          <w:szCs w:val="24"/>
        </w:rPr>
      </w:pPr>
      <w:r w:rsidRPr="001A4833">
        <w:rPr>
          <w:rFonts w:ascii="Times New Roman" w:hAnsi="Times New Roman" w:cs="Times New Roman"/>
          <w:noProof/>
          <w:sz w:val="24"/>
          <w:szCs w:val="24"/>
        </w:rPr>
        <w:t xml:space="preserve">Shoolin JS (2010) ‘Change management–Recommendations for successful electronic medical records implementation’, </w:t>
      </w:r>
      <w:r w:rsidRPr="001A4833">
        <w:rPr>
          <w:rFonts w:ascii="Times New Roman" w:hAnsi="Times New Roman" w:cs="Times New Roman"/>
          <w:i/>
          <w:iCs/>
          <w:noProof/>
          <w:sz w:val="24"/>
          <w:szCs w:val="24"/>
        </w:rPr>
        <w:t>Applied Clinical Informatics</w:t>
      </w:r>
      <w:r w:rsidRPr="001A4833">
        <w:rPr>
          <w:rFonts w:ascii="Times New Roman" w:hAnsi="Times New Roman" w:cs="Times New Roman"/>
          <w:noProof/>
          <w:sz w:val="24"/>
          <w:szCs w:val="24"/>
        </w:rPr>
        <w:t>, 1(3), pp. 286–292. doi:10.4338/ACI-2010-01-R-0001.</w:t>
      </w:r>
    </w:p>
    <w:p w:rsidR="001A4833" w:rsidRPr="001A4833" w:rsidRDefault="001A4833" w:rsidP="0009430F">
      <w:pPr>
        <w:widowControl w:val="0"/>
        <w:autoSpaceDE w:val="0"/>
        <w:autoSpaceDN w:val="0"/>
        <w:adjustRightInd w:val="0"/>
        <w:spacing w:line="240" w:lineRule="auto"/>
        <w:jc w:val="both"/>
        <w:rPr>
          <w:rFonts w:ascii="Times New Roman" w:hAnsi="Times New Roman" w:cs="Times New Roman"/>
          <w:noProof/>
          <w:sz w:val="24"/>
        </w:rPr>
      </w:pPr>
      <w:r w:rsidRPr="001A4833">
        <w:rPr>
          <w:rFonts w:ascii="Times New Roman" w:hAnsi="Times New Roman" w:cs="Times New Roman"/>
          <w:noProof/>
          <w:sz w:val="24"/>
          <w:szCs w:val="24"/>
        </w:rPr>
        <w:t xml:space="preserve">Tindol, G.A. </w:t>
      </w:r>
      <w:r w:rsidRPr="00BC2F8C">
        <w:rPr>
          <w:rFonts w:ascii="Times New Roman" w:hAnsi="Times New Roman" w:cs="Times New Roman"/>
          <w:iCs/>
          <w:noProof/>
          <w:sz w:val="24"/>
          <w:szCs w:val="24"/>
        </w:rPr>
        <w:t>et al.</w:t>
      </w:r>
      <w:r w:rsidRPr="001A4833">
        <w:rPr>
          <w:rFonts w:ascii="Times New Roman" w:hAnsi="Times New Roman" w:cs="Times New Roman"/>
          <w:noProof/>
          <w:sz w:val="24"/>
          <w:szCs w:val="24"/>
        </w:rPr>
        <w:t xml:space="preserve"> (2015) ‘Incorporating validated alcohol and drug screening instruments in the electronic health record’, </w:t>
      </w:r>
      <w:r w:rsidRPr="001A4833">
        <w:rPr>
          <w:rFonts w:ascii="Times New Roman" w:hAnsi="Times New Roman" w:cs="Times New Roman"/>
          <w:i/>
          <w:iCs/>
          <w:noProof/>
          <w:sz w:val="24"/>
          <w:szCs w:val="24"/>
        </w:rPr>
        <w:t>Addiction Science &amp; Clinical Practice</w:t>
      </w:r>
      <w:r w:rsidRPr="001A4833">
        <w:rPr>
          <w:rFonts w:ascii="Times New Roman" w:hAnsi="Times New Roman" w:cs="Times New Roman"/>
          <w:noProof/>
          <w:sz w:val="24"/>
          <w:szCs w:val="24"/>
        </w:rPr>
        <w:t>, 10(S2). doi:10.1186/1940-0640-10-S2-O47.</w:t>
      </w:r>
    </w:p>
    <w:p w:rsidR="0089421F" w:rsidRPr="00186403" w:rsidRDefault="00F13D77" w:rsidP="0009430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fldChar w:fldCharType="end"/>
      </w:r>
    </w:p>
    <w:p w:rsidR="0089421F" w:rsidRDefault="0089421F" w:rsidP="0089421F">
      <w:r>
        <w:br w:type="page"/>
      </w:r>
    </w:p>
    <w:p w:rsidR="0089421F" w:rsidRDefault="0089421F" w:rsidP="00524FA3">
      <w:pPr>
        <w:pStyle w:val="Heading1"/>
        <w:spacing w:line="360" w:lineRule="auto"/>
        <w:rPr>
          <w:rFonts w:ascii="Times New Roman" w:hAnsi="Times New Roman" w:cs="Times New Roman"/>
          <w:b/>
          <w:color w:val="000000" w:themeColor="text1"/>
          <w:sz w:val="24"/>
          <w:szCs w:val="24"/>
        </w:rPr>
      </w:pPr>
      <w:bookmarkStart w:id="14" w:name="_Toc119880506"/>
      <w:r w:rsidRPr="008E0689">
        <w:rPr>
          <w:rFonts w:ascii="Times New Roman" w:hAnsi="Times New Roman" w:cs="Times New Roman"/>
          <w:b/>
          <w:color w:val="000000" w:themeColor="text1"/>
          <w:sz w:val="24"/>
          <w:szCs w:val="24"/>
        </w:rPr>
        <w:lastRenderedPageBreak/>
        <w:t>Annexes</w:t>
      </w:r>
      <w:bookmarkEnd w:id="14"/>
    </w:p>
    <w:p w:rsidR="00326194" w:rsidRDefault="003A2897" w:rsidP="00730A4E">
      <w:pPr>
        <w:pStyle w:val="Heading2"/>
        <w:jc w:val="both"/>
        <w:rPr>
          <w:rFonts w:ascii="Times New Roman" w:hAnsi="Times New Roman" w:cs="Times New Roman"/>
          <w:color w:val="000000" w:themeColor="text1"/>
          <w:sz w:val="24"/>
          <w:szCs w:val="24"/>
        </w:rPr>
      </w:pPr>
      <w:bookmarkStart w:id="15" w:name="_Toc119880507"/>
      <w:r>
        <w:rPr>
          <w:rFonts w:ascii="Times New Roman" w:hAnsi="Times New Roman" w:cs="Times New Roman"/>
          <w:color w:val="000000" w:themeColor="text1"/>
          <w:sz w:val="24"/>
          <w:szCs w:val="24"/>
        </w:rPr>
        <w:t>Annex</w:t>
      </w:r>
      <w:r w:rsidR="00301238">
        <w:rPr>
          <w:rFonts w:ascii="Times New Roman" w:hAnsi="Times New Roman" w:cs="Times New Roman"/>
          <w:color w:val="000000" w:themeColor="text1"/>
          <w:sz w:val="24"/>
          <w:szCs w:val="24"/>
        </w:rPr>
        <w:t xml:space="preserve"> 1</w:t>
      </w:r>
      <w:r w:rsidR="00326194" w:rsidRPr="00730A4E">
        <w:rPr>
          <w:rFonts w:ascii="Times New Roman" w:hAnsi="Times New Roman" w:cs="Times New Roman"/>
          <w:color w:val="000000" w:themeColor="text1"/>
          <w:sz w:val="24"/>
          <w:szCs w:val="24"/>
        </w:rPr>
        <w:t>. Tentative program for the Online TPC-OHCIS User Training Modules workshop</w:t>
      </w:r>
      <w:bookmarkEnd w:id="15"/>
    </w:p>
    <w:p w:rsidR="001A139A" w:rsidRDefault="001A139A" w:rsidP="001A139A">
      <w:pPr>
        <w:spacing w:line="360" w:lineRule="auto"/>
        <w:rPr>
          <w:rFonts w:ascii="Times New Roman" w:hAnsi="Times New Roman" w:cs="Times New Roman"/>
          <w:sz w:val="24"/>
          <w:szCs w:val="24"/>
        </w:rPr>
      </w:pPr>
      <w:r>
        <w:rPr>
          <w:rFonts w:ascii="Times New Roman" w:hAnsi="Times New Roman" w:cs="Times New Roman"/>
          <w:sz w:val="24"/>
          <w:szCs w:val="24"/>
        </w:rPr>
        <w:t>Day 1</w:t>
      </w:r>
    </w:p>
    <w:tbl>
      <w:tblPr>
        <w:tblStyle w:val="TableGrid"/>
        <w:tblW w:w="9209" w:type="dxa"/>
        <w:tblLook w:val="04A0" w:firstRow="1" w:lastRow="0" w:firstColumn="1" w:lastColumn="0" w:noHBand="0" w:noVBand="1"/>
      </w:tblPr>
      <w:tblGrid>
        <w:gridCol w:w="1271"/>
        <w:gridCol w:w="2552"/>
        <w:gridCol w:w="1984"/>
        <w:gridCol w:w="3402"/>
      </w:tblGrid>
      <w:tr w:rsidR="00FB1741" w:rsidTr="00115A9A">
        <w:tc>
          <w:tcPr>
            <w:tcW w:w="1271" w:type="dxa"/>
            <w:shd w:val="pct10" w:color="auto" w:fill="auto"/>
          </w:tcPr>
          <w:p w:rsidR="00FB1741" w:rsidRPr="004E5FCD" w:rsidRDefault="00FB1741" w:rsidP="00E205BC">
            <w:pPr>
              <w:spacing w:line="360" w:lineRule="auto"/>
              <w:rPr>
                <w:rFonts w:ascii="Times New Roman" w:hAnsi="Times New Roman" w:cs="Times New Roman"/>
                <w:b/>
                <w:sz w:val="24"/>
                <w:szCs w:val="24"/>
              </w:rPr>
            </w:pPr>
            <w:r w:rsidRPr="004E5FCD">
              <w:rPr>
                <w:rFonts w:ascii="Times New Roman" w:hAnsi="Times New Roman" w:cs="Times New Roman"/>
                <w:b/>
                <w:sz w:val="24"/>
                <w:szCs w:val="24"/>
              </w:rPr>
              <w:t xml:space="preserve">Time </w:t>
            </w:r>
          </w:p>
        </w:tc>
        <w:tc>
          <w:tcPr>
            <w:tcW w:w="7938" w:type="dxa"/>
            <w:gridSpan w:val="3"/>
            <w:shd w:val="pct10" w:color="auto" w:fill="auto"/>
          </w:tcPr>
          <w:p w:rsidR="00FB1741" w:rsidRPr="004E5FCD" w:rsidRDefault="00FB1741" w:rsidP="00FB1741">
            <w:pPr>
              <w:spacing w:line="360" w:lineRule="auto"/>
              <w:jc w:val="center"/>
              <w:rPr>
                <w:rFonts w:ascii="Times New Roman" w:hAnsi="Times New Roman" w:cs="Times New Roman"/>
                <w:b/>
                <w:sz w:val="24"/>
                <w:szCs w:val="24"/>
              </w:rPr>
            </w:pPr>
            <w:r w:rsidRPr="004E5FCD">
              <w:rPr>
                <w:rFonts w:ascii="Times New Roman" w:hAnsi="Times New Roman" w:cs="Times New Roman"/>
                <w:b/>
                <w:sz w:val="24"/>
                <w:szCs w:val="24"/>
              </w:rPr>
              <w:t>Activity</w:t>
            </w:r>
          </w:p>
        </w:tc>
      </w:tr>
      <w:tr w:rsidR="00FB1741" w:rsidTr="00115A9A">
        <w:tc>
          <w:tcPr>
            <w:tcW w:w="1271" w:type="dxa"/>
          </w:tcPr>
          <w:p w:rsidR="00FB1741" w:rsidRDefault="00FB1741" w:rsidP="00E205BC">
            <w:pPr>
              <w:spacing w:line="360" w:lineRule="auto"/>
              <w:rPr>
                <w:rFonts w:ascii="Times New Roman" w:hAnsi="Times New Roman" w:cs="Times New Roman"/>
                <w:sz w:val="24"/>
                <w:szCs w:val="24"/>
              </w:rPr>
            </w:pPr>
            <w:r>
              <w:rPr>
                <w:rFonts w:ascii="Times New Roman" w:hAnsi="Times New Roman" w:cs="Times New Roman"/>
                <w:sz w:val="24"/>
                <w:szCs w:val="24"/>
              </w:rPr>
              <w:t>8.00 am</w:t>
            </w:r>
          </w:p>
        </w:tc>
        <w:tc>
          <w:tcPr>
            <w:tcW w:w="7938" w:type="dxa"/>
            <w:gridSpan w:val="3"/>
          </w:tcPr>
          <w:p w:rsidR="00FB1741" w:rsidRDefault="00FB1741" w:rsidP="00E205BC">
            <w:pPr>
              <w:spacing w:line="360" w:lineRule="auto"/>
              <w:rPr>
                <w:rFonts w:ascii="Times New Roman" w:hAnsi="Times New Roman" w:cs="Times New Roman"/>
                <w:sz w:val="24"/>
                <w:szCs w:val="24"/>
              </w:rPr>
            </w:pPr>
            <w:r>
              <w:rPr>
                <w:rFonts w:ascii="Times New Roman" w:hAnsi="Times New Roman" w:cs="Times New Roman"/>
                <w:sz w:val="24"/>
                <w:szCs w:val="24"/>
              </w:rPr>
              <w:t>Registration</w:t>
            </w:r>
          </w:p>
        </w:tc>
      </w:tr>
      <w:tr w:rsidR="00FB1741" w:rsidTr="00115A9A">
        <w:tc>
          <w:tcPr>
            <w:tcW w:w="1271" w:type="dxa"/>
          </w:tcPr>
          <w:p w:rsidR="00FB1741" w:rsidRDefault="00FB1741" w:rsidP="00E205BC">
            <w:pPr>
              <w:spacing w:line="360" w:lineRule="auto"/>
              <w:rPr>
                <w:rFonts w:ascii="Times New Roman" w:hAnsi="Times New Roman" w:cs="Times New Roman"/>
                <w:sz w:val="24"/>
                <w:szCs w:val="24"/>
              </w:rPr>
            </w:pPr>
            <w:r>
              <w:rPr>
                <w:rFonts w:ascii="Times New Roman" w:hAnsi="Times New Roman" w:cs="Times New Roman"/>
                <w:sz w:val="24"/>
                <w:szCs w:val="24"/>
              </w:rPr>
              <w:t>8.30 am</w:t>
            </w:r>
          </w:p>
        </w:tc>
        <w:tc>
          <w:tcPr>
            <w:tcW w:w="7938" w:type="dxa"/>
            <w:gridSpan w:val="3"/>
          </w:tcPr>
          <w:p w:rsidR="00FB1741" w:rsidRDefault="00AD01F2" w:rsidP="002F19F8">
            <w:pPr>
              <w:spacing w:line="360" w:lineRule="auto"/>
              <w:rPr>
                <w:rFonts w:ascii="Times New Roman" w:hAnsi="Times New Roman" w:cs="Times New Roman"/>
                <w:sz w:val="24"/>
                <w:szCs w:val="24"/>
              </w:rPr>
            </w:pPr>
            <w:r>
              <w:rPr>
                <w:rFonts w:ascii="Times New Roman" w:hAnsi="Times New Roman" w:cs="Times New Roman"/>
                <w:sz w:val="24"/>
                <w:szCs w:val="24"/>
              </w:rPr>
              <w:t xml:space="preserve">Talk: </w:t>
            </w:r>
            <w:r w:rsidR="00FB1741">
              <w:rPr>
                <w:rFonts w:ascii="Times New Roman" w:hAnsi="Times New Roman" w:cs="Times New Roman"/>
                <w:sz w:val="24"/>
                <w:szCs w:val="24"/>
              </w:rPr>
              <w:t>Introduction</w:t>
            </w:r>
            <w:r w:rsidR="002F19F8">
              <w:rPr>
                <w:rFonts w:ascii="Times New Roman" w:hAnsi="Times New Roman" w:cs="Times New Roman"/>
                <w:sz w:val="24"/>
                <w:szCs w:val="24"/>
              </w:rPr>
              <w:t xml:space="preserve"> on TPC-OHCIS</w:t>
            </w:r>
            <w:r w:rsidR="001D2EDF">
              <w:rPr>
                <w:rFonts w:ascii="Times New Roman" w:hAnsi="Times New Roman" w:cs="Times New Roman"/>
                <w:sz w:val="24"/>
                <w:szCs w:val="24"/>
              </w:rPr>
              <w:t xml:space="preserve"> modules</w:t>
            </w:r>
            <w:r w:rsidR="009822A8">
              <w:rPr>
                <w:rFonts w:ascii="Times New Roman" w:hAnsi="Times New Roman" w:cs="Times New Roman"/>
                <w:sz w:val="24"/>
                <w:szCs w:val="24"/>
              </w:rPr>
              <w:t xml:space="preserve"> </w:t>
            </w:r>
            <w:r>
              <w:rPr>
                <w:rFonts w:ascii="Times New Roman" w:hAnsi="Times New Roman" w:cs="Times New Roman"/>
                <w:sz w:val="24"/>
                <w:szCs w:val="24"/>
              </w:rPr>
              <w:t xml:space="preserve">by </w:t>
            </w:r>
            <w:r w:rsidR="0094709C">
              <w:rPr>
                <w:rFonts w:ascii="Times New Roman" w:hAnsi="Times New Roman" w:cs="Times New Roman"/>
                <w:sz w:val="24"/>
                <w:szCs w:val="24"/>
              </w:rPr>
              <w:t>TPC</w:t>
            </w:r>
            <w:r w:rsidRPr="00AD01F2">
              <w:rPr>
                <w:rFonts w:ascii="Times New Roman" w:hAnsi="Times New Roman" w:cs="Times New Roman"/>
                <w:sz w:val="24"/>
                <w:szCs w:val="24"/>
              </w:rPr>
              <w:t xml:space="preserve"> Sector, </w:t>
            </w:r>
            <w:r w:rsidR="003C00D0" w:rsidRPr="004E304C">
              <w:rPr>
                <w:rFonts w:ascii="Times New Roman" w:hAnsi="Times New Roman" w:cs="Times New Roman"/>
                <w:sz w:val="24"/>
                <w:szCs w:val="24"/>
              </w:rPr>
              <w:t>MOH Malaysia</w:t>
            </w:r>
          </w:p>
        </w:tc>
      </w:tr>
      <w:tr w:rsidR="00FB1741" w:rsidTr="002F19F8">
        <w:tc>
          <w:tcPr>
            <w:tcW w:w="1271" w:type="dxa"/>
          </w:tcPr>
          <w:p w:rsidR="00FB1741" w:rsidRDefault="00FB1741" w:rsidP="00E205BC">
            <w:pPr>
              <w:spacing w:line="360" w:lineRule="auto"/>
              <w:rPr>
                <w:rFonts w:ascii="Times New Roman" w:hAnsi="Times New Roman" w:cs="Times New Roman"/>
                <w:sz w:val="24"/>
                <w:szCs w:val="24"/>
              </w:rPr>
            </w:pPr>
          </w:p>
        </w:tc>
        <w:tc>
          <w:tcPr>
            <w:tcW w:w="2552" w:type="dxa"/>
          </w:tcPr>
          <w:p w:rsidR="00FB1741" w:rsidRDefault="00FB1741" w:rsidP="00E205BC">
            <w:pPr>
              <w:spacing w:line="360" w:lineRule="auto"/>
              <w:rPr>
                <w:rFonts w:ascii="Times New Roman" w:hAnsi="Times New Roman" w:cs="Times New Roman"/>
                <w:sz w:val="24"/>
                <w:szCs w:val="24"/>
              </w:rPr>
            </w:pPr>
            <w:r>
              <w:rPr>
                <w:rFonts w:ascii="Times New Roman" w:hAnsi="Times New Roman" w:cs="Times New Roman"/>
                <w:sz w:val="24"/>
                <w:szCs w:val="24"/>
              </w:rPr>
              <w:t xml:space="preserve">Group 1: Outpatient </w:t>
            </w:r>
          </w:p>
        </w:tc>
        <w:tc>
          <w:tcPr>
            <w:tcW w:w="1984" w:type="dxa"/>
          </w:tcPr>
          <w:p w:rsidR="00FB1741" w:rsidRDefault="00FB1741" w:rsidP="00E205BC">
            <w:pPr>
              <w:spacing w:line="360" w:lineRule="auto"/>
              <w:rPr>
                <w:rFonts w:ascii="Times New Roman" w:hAnsi="Times New Roman" w:cs="Times New Roman"/>
                <w:sz w:val="24"/>
                <w:szCs w:val="24"/>
              </w:rPr>
            </w:pPr>
            <w:r>
              <w:rPr>
                <w:rFonts w:ascii="Times New Roman" w:hAnsi="Times New Roman" w:cs="Times New Roman"/>
                <w:sz w:val="24"/>
                <w:szCs w:val="24"/>
              </w:rPr>
              <w:t xml:space="preserve">Group 2: </w:t>
            </w:r>
            <w:r w:rsidR="002F19F8">
              <w:rPr>
                <w:rFonts w:ascii="Times New Roman" w:hAnsi="Times New Roman" w:cs="Times New Roman"/>
                <w:sz w:val="24"/>
                <w:szCs w:val="24"/>
              </w:rPr>
              <w:t>MCH</w:t>
            </w:r>
          </w:p>
        </w:tc>
        <w:tc>
          <w:tcPr>
            <w:tcW w:w="3402" w:type="dxa"/>
          </w:tcPr>
          <w:p w:rsidR="00FB1741" w:rsidRDefault="00FB1741" w:rsidP="00E205BC">
            <w:pPr>
              <w:spacing w:line="360" w:lineRule="auto"/>
              <w:rPr>
                <w:rFonts w:ascii="Times New Roman" w:hAnsi="Times New Roman" w:cs="Times New Roman"/>
                <w:sz w:val="24"/>
                <w:szCs w:val="24"/>
              </w:rPr>
            </w:pPr>
            <w:r>
              <w:rPr>
                <w:rFonts w:ascii="Times New Roman" w:hAnsi="Times New Roman" w:cs="Times New Roman"/>
                <w:sz w:val="24"/>
                <w:szCs w:val="24"/>
              </w:rPr>
              <w:t>Group 3:</w:t>
            </w:r>
            <w:r w:rsidR="002F19F8">
              <w:rPr>
                <w:rFonts w:ascii="Times New Roman" w:hAnsi="Times New Roman" w:cs="Times New Roman"/>
                <w:sz w:val="24"/>
                <w:szCs w:val="24"/>
              </w:rPr>
              <w:t xml:space="preserve"> </w:t>
            </w:r>
            <w:r>
              <w:rPr>
                <w:rFonts w:ascii="Times New Roman" w:hAnsi="Times New Roman" w:cs="Times New Roman"/>
                <w:sz w:val="24"/>
                <w:szCs w:val="24"/>
              </w:rPr>
              <w:t>Allied Health</w:t>
            </w:r>
          </w:p>
        </w:tc>
      </w:tr>
      <w:tr w:rsidR="001D2EDF" w:rsidTr="00115A9A">
        <w:tc>
          <w:tcPr>
            <w:tcW w:w="1271" w:type="dxa"/>
          </w:tcPr>
          <w:p w:rsidR="001D2EDF" w:rsidRDefault="001D2EDF" w:rsidP="00E205BC">
            <w:pPr>
              <w:spacing w:line="360" w:lineRule="auto"/>
              <w:rPr>
                <w:rFonts w:ascii="Times New Roman" w:hAnsi="Times New Roman" w:cs="Times New Roman"/>
                <w:sz w:val="24"/>
                <w:szCs w:val="24"/>
              </w:rPr>
            </w:pPr>
            <w:r>
              <w:rPr>
                <w:rFonts w:ascii="Times New Roman" w:hAnsi="Times New Roman" w:cs="Times New Roman"/>
                <w:sz w:val="24"/>
                <w:szCs w:val="24"/>
              </w:rPr>
              <w:t>9.00 am</w:t>
            </w:r>
          </w:p>
        </w:tc>
        <w:tc>
          <w:tcPr>
            <w:tcW w:w="7938" w:type="dxa"/>
            <w:gridSpan w:val="3"/>
          </w:tcPr>
          <w:p w:rsidR="001D2EDF" w:rsidRDefault="00AD01F2" w:rsidP="00E205BC">
            <w:pPr>
              <w:spacing w:line="360" w:lineRule="auto"/>
              <w:rPr>
                <w:rFonts w:ascii="Times New Roman" w:hAnsi="Times New Roman" w:cs="Times New Roman"/>
                <w:sz w:val="24"/>
                <w:szCs w:val="24"/>
              </w:rPr>
            </w:pPr>
            <w:r>
              <w:rPr>
                <w:rFonts w:ascii="Times New Roman" w:hAnsi="Times New Roman" w:cs="Times New Roman"/>
                <w:sz w:val="24"/>
                <w:szCs w:val="24"/>
              </w:rPr>
              <w:t xml:space="preserve">Group activity: </w:t>
            </w:r>
            <w:r w:rsidR="001D2EDF">
              <w:rPr>
                <w:rFonts w:ascii="Times New Roman" w:hAnsi="Times New Roman" w:cs="Times New Roman"/>
                <w:sz w:val="24"/>
                <w:szCs w:val="24"/>
              </w:rPr>
              <w:t>TPC-OHCIS modules tailored to healthcare worker designation</w:t>
            </w:r>
          </w:p>
        </w:tc>
      </w:tr>
      <w:tr w:rsidR="001D2EDF" w:rsidTr="00115A9A">
        <w:tc>
          <w:tcPr>
            <w:tcW w:w="1271" w:type="dxa"/>
          </w:tcPr>
          <w:p w:rsidR="001D2EDF" w:rsidRDefault="001D2EDF" w:rsidP="007E0832">
            <w:pPr>
              <w:spacing w:line="360" w:lineRule="auto"/>
              <w:rPr>
                <w:rFonts w:ascii="Times New Roman" w:hAnsi="Times New Roman" w:cs="Times New Roman"/>
                <w:sz w:val="24"/>
                <w:szCs w:val="24"/>
              </w:rPr>
            </w:pPr>
            <w:r>
              <w:rPr>
                <w:rFonts w:ascii="Times New Roman" w:hAnsi="Times New Roman" w:cs="Times New Roman"/>
                <w:sz w:val="24"/>
                <w:szCs w:val="24"/>
              </w:rPr>
              <w:t>10.</w:t>
            </w:r>
            <w:r w:rsidR="00AD01F2">
              <w:rPr>
                <w:rFonts w:ascii="Times New Roman" w:hAnsi="Times New Roman" w:cs="Times New Roman"/>
                <w:sz w:val="24"/>
                <w:szCs w:val="24"/>
              </w:rPr>
              <w:t>00</w:t>
            </w:r>
            <w:r>
              <w:rPr>
                <w:rFonts w:ascii="Times New Roman" w:hAnsi="Times New Roman" w:cs="Times New Roman"/>
                <w:sz w:val="24"/>
                <w:szCs w:val="24"/>
              </w:rPr>
              <w:t xml:space="preserve"> am</w:t>
            </w:r>
          </w:p>
        </w:tc>
        <w:tc>
          <w:tcPr>
            <w:tcW w:w="7938" w:type="dxa"/>
            <w:gridSpan w:val="3"/>
          </w:tcPr>
          <w:p w:rsidR="001D2EDF" w:rsidRDefault="001D2EDF" w:rsidP="00E205BC">
            <w:pPr>
              <w:spacing w:line="360" w:lineRule="auto"/>
              <w:rPr>
                <w:rFonts w:ascii="Times New Roman" w:hAnsi="Times New Roman" w:cs="Times New Roman"/>
                <w:sz w:val="24"/>
                <w:szCs w:val="24"/>
              </w:rPr>
            </w:pPr>
            <w:r>
              <w:rPr>
                <w:rFonts w:ascii="Times New Roman" w:hAnsi="Times New Roman" w:cs="Times New Roman"/>
                <w:sz w:val="24"/>
                <w:szCs w:val="24"/>
              </w:rPr>
              <w:t>Morning tea break</w:t>
            </w:r>
          </w:p>
        </w:tc>
      </w:tr>
      <w:tr w:rsidR="009822A8" w:rsidTr="00115A9A">
        <w:tc>
          <w:tcPr>
            <w:tcW w:w="1271" w:type="dxa"/>
          </w:tcPr>
          <w:p w:rsidR="009822A8" w:rsidRDefault="007E0832" w:rsidP="00E205BC">
            <w:pPr>
              <w:spacing w:line="360" w:lineRule="auto"/>
              <w:rPr>
                <w:rFonts w:ascii="Times New Roman" w:hAnsi="Times New Roman" w:cs="Times New Roman"/>
                <w:sz w:val="24"/>
                <w:szCs w:val="24"/>
              </w:rPr>
            </w:pPr>
            <w:r>
              <w:rPr>
                <w:rFonts w:ascii="Times New Roman" w:hAnsi="Times New Roman" w:cs="Times New Roman"/>
                <w:sz w:val="24"/>
                <w:szCs w:val="24"/>
              </w:rPr>
              <w:t>10</w:t>
            </w:r>
            <w:r w:rsidR="007D4F7E">
              <w:rPr>
                <w:rFonts w:ascii="Times New Roman" w:hAnsi="Times New Roman" w:cs="Times New Roman"/>
                <w:sz w:val="24"/>
                <w:szCs w:val="24"/>
              </w:rPr>
              <w:t>.30</w:t>
            </w:r>
            <w:r w:rsidR="009822A8">
              <w:rPr>
                <w:rFonts w:ascii="Times New Roman" w:hAnsi="Times New Roman" w:cs="Times New Roman"/>
                <w:sz w:val="24"/>
                <w:szCs w:val="24"/>
              </w:rPr>
              <w:t xml:space="preserve"> am</w:t>
            </w:r>
          </w:p>
        </w:tc>
        <w:tc>
          <w:tcPr>
            <w:tcW w:w="7938" w:type="dxa"/>
            <w:gridSpan w:val="3"/>
          </w:tcPr>
          <w:p w:rsidR="009822A8" w:rsidRDefault="00AD01F2" w:rsidP="00666CB2">
            <w:pPr>
              <w:spacing w:line="360" w:lineRule="auto"/>
              <w:rPr>
                <w:rFonts w:ascii="Times New Roman" w:hAnsi="Times New Roman" w:cs="Times New Roman"/>
                <w:sz w:val="24"/>
                <w:szCs w:val="24"/>
              </w:rPr>
            </w:pPr>
            <w:r w:rsidRPr="00AD01F2">
              <w:rPr>
                <w:rFonts w:ascii="Times New Roman" w:hAnsi="Times New Roman" w:cs="Times New Roman"/>
                <w:sz w:val="24"/>
                <w:szCs w:val="24"/>
              </w:rPr>
              <w:t xml:space="preserve">Group activity: </w:t>
            </w:r>
            <w:r w:rsidR="009822A8">
              <w:rPr>
                <w:rFonts w:ascii="Times New Roman" w:hAnsi="Times New Roman" w:cs="Times New Roman"/>
                <w:sz w:val="24"/>
                <w:szCs w:val="24"/>
              </w:rPr>
              <w:t>E</w:t>
            </w:r>
            <w:r w:rsidR="009822A8" w:rsidRPr="009822A8">
              <w:rPr>
                <w:rFonts w:ascii="Times New Roman" w:hAnsi="Times New Roman" w:cs="Times New Roman"/>
                <w:sz w:val="24"/>
                <w:szCs w:val="24"/>
              </w:rPr>
              <w:t>ducation materials and its description</w:t>
            </w:r>
            <w:r w:rsidR="009822A8">
              <w:rPr>
                <w:rFonts w:ascii="Times New Roman" w:hAnsi="Times New Roman" w:cs="Times New Roman"/>
                <w:sz w:val="24"/>
                <w:szCs w:val="24"/>
              </w:rPr>
              <w:t xml:space="preserve"> </w:t>
            </w:r>
          </w:p>
        </w:tc>
      </w:tr>
      <w:tr w:rsidR="007E0832" w:rsidTr="00115A9A">
        <w:tc>
          <w:tcPr>
            <w:tcW w:w="1271" w:type="dxa"/>
          </w:tcPr>
          <w:p w:rsidR="007E0832" w:rsidRDefault="004E304C" w:rsidP="00E205BC">
            <w:pPr>
              <w:spacing w:line="360" w:lineRule="auto"/>
              <w:rPr>
                <w:rFonts w:ascii="Times New Roman" w:hAnsi="Times New Roman" w:cs="Times New Roman"/>
                <w:sz w:val="24"/>
                <w:szCs w:val="24"/>
              </w:rPr>
            </w:pPr>
            <w:r>
              <w:rPr>
                <w:rFonts w:ascii="Times New Roman" w:hAnsi="Times New Roman" w:cs="Times New Roman"/>
                <w:sz w:val="24"/>
                <w:szCs w:val="24"/>
              </w:rPr>
              <w:t>11.30 a</w:t>
            </w:r>
            <w:r w:rsidR="007E0832">
              <w:rPr>
                <w:rFonts w:ascii="Times New Roman" w:hAnsi="Times New Roman" w:cs="Times New Roman"/>
                <w:sz w:val="24"/>
                <w:szCs w:val="24"/>
              </w:rPr>
              <w:t>m</w:t>
            </w:r>
          </w:p>
        </w:tc>
        <w:tc>
          <w:tcPr>
            <w:tcW w:w="7938" w:type="dxa"/>
            <w:gridSpan w:val="3"/>
          </w:tcPr>
          <w:p w:rsidR="007E0832" w:rsidRDefault="004E304C" w:rsidP="00E205BC">
            <w:pPr>
              <w:spacing w:line="360" w:lineRule="auto"/>
              <w:rPr>
                <w:rFonts w:ascii="Times New Roman" w:hAnsi="Times New Roman" w:cs="Times New Roman"/>
                <w:sz w:val="24"/>
                <w:szCs w:val="24"/>
              </w:rPr>
            </w:pPr>
            <w:r>
              <w:rPr>
                <w:rFonts w:ascii="Times New Roman" w:hAnsi="Times New Roman" w:cs="Times New Roman"/>
                <w:sz w:val="24"/>
                <w:szCs w:val="24"/>
              </w:rPr>
              <w:t>Group presentation</w:t>
            </w:r>
          </w:p>
        </w:tc>
      </w:tr>
      <w:tr w:rsidR="007E0832" w:rsidTr="00115A9A">
        <w:tc>
          <w:tcPr>
            <w:tcW w:w="1271" w:type="dxa"/>
          </w:tcPr>
          <w:p w:rsidR="007E0832" w:rsidRDefault="004E304C" w:rsidP="00E205BC">
            <w:pPr>
              <w:spacing w:line="360" w:lineRule="auto"/>
              <w:rPr>
                <w:rFonts w:ascii="Times New Roman" w:hAnsi="Times New Roman" w:cs="Times New Roman"/>
                <w:sz w:val="24"/>
                <w:szCs w:val="24"/>
              </w:rPr>
            </w:pPr>
            <w:r>
              <w:rPr>
                <w:rFonts w:ascii="Times New Roman" w:hAnsi="Times New Roman" w:cs="Times New Roman"/>
                <w:sz w:val="24"/>
                <w:szCs w:val="24"/>
              </w:rPr>
              <w:t>12.3</w:t>
            </w:r>
            <w:r w:rsidR="007E0832">
              <w:rPr>
                <w:rFonts w:ascii="Times New Roman" w:hAnsi="Times New Roman" w:cs="Times New Roman"/>
                <w:sz w:val="24"/>
                <w:szCs w:val="24"/>
              </w:rPr>
              <w:t>0 pm</w:t>
            </w:r>
          </w:p>
        </w:tc>
        <w:tc>
          <w:tcPr>
            <w:tcW w:w="7938" w:type="dxa"/>
            <w:gridSpan w:val="3"/>
          </w:tcPr>
          <w:p w:rsidR="007E0832" w:rsidRDefault="004E304C" w:rsidP="00E205BC">
            <w:pPr>
              <w:spacing w:line="360" w:lineRule="auto"/>
              <w:rPr>
                <w:rFonts w:ascii="Times New Roman" w:hAnsi="Times New Roman" w:cs="Times New Roman"/>
                <w:sz w:val="24"/>
                <w:szCs w:val="24"/>
              </w:rPr>
            </w:pPr>
            <w:r>
              <w:rPr>
                <w:rFonts w:ascii="Times New Roman" w:hAnsi="Times New Roman" w:cs="Times New Roman"/>
                <w:sz w:val="24"/>
                <w:szCs w:val="24"/>
              </w:rPr>
              <w:t>Lunch break</w:t>
            </w:r>
          </w:p>
        </w:tc>
      </w:tr>
      <w:tr w:rsidR="007E0832" w:rsidTr="00115A9A">
        <w:tc>
          <w:tcPr>
            <w:tcW w:w="1271" w:type="dxa"/>
          </w:tcPr>
          <w:p w:rsidR="007E0832" w:rsidRDefault="004E304C" w:rsidP="00E205BC">
            <w:pPr>
              <w:spacing w:line="360" w:lineRule="auto"/>
              <w:rPr>
                <w:rFonts w:ascii="Times New Roman" w:hAnsi="Times New Roman" w:cs="Times New Roman"/>
                <w:sz w:val="24"/>
                <w:szCs w:val="24"/>
              </w:rPr>
            </w:pPr>
            <w:r>
              <w:rPr>
                <w:rFonts w:ascii="Times New Roman" w:hAnsi="Times New Roman" w:cs="Times New Roman"/>
                <w:sz w:val="24"/>
                <w:szCs w:val="24"/>
              </w:rPr>
              <w:t>2.0</w:t>
            </w:r>
            <w:r w:rsidR="007E0832">
              <w:rPr>
                <w:rFonts w:ascii="Times New Roman" w:hAnsi="Times New Roman" w:cs="Times New Roman"/>
                <w:sz w:val="24"/>
                <w:szCs w:val="24"/>
              </w:rPr>
              <w:t>0 pm</w:t>
            </w:r>
          </w:p>
        </w:tc>
        <w:tc>
          <w:tcPr>
            <w:tcW w:w="7938" w:type="dxa"/>
            <w:gridSpan w:val="3"/>
          </w:tcPr>
          <w:p w:rsidR="007E0832" w:rsidRDefault="004E304C" w:rsidP="002F19F8">
            <w:pPr>
              <w:spacing w:line="360" w:lineRule="auto"/>
              <w:rPr>
                <w:rFonts w:ascii="Times New Roman" w:hAnsi="Times New Roman" w:cs="Times New Roman"/>
                <w:sz w:val="24"/>
                <w:szCs w:val="24"/>
              </w:rPr>
            </w:pPr>
            <w:r>
              <w:rPr>
                <w:rFonts w:ascii="Times New Roman" w:hAnsi="Times New Roman" w:cs="Times New Roman"/>
                <w:sz w:val="24"/>
                <w:szCs w:val="24"/>
              </w:rPr>
              <w:t>Introduction: Development</w:t>
            </w:r>
            <w:r w:rsidR="002F19F8">
              <w:rPr>
                <w:rFonts w:ascii="Times New Roman" w:hAnsi="Times New Roman" w:cs="Times New Roman"/>
                <w:sz w:val="24"/>
                <w:szCs w:val="24"/>
              </w:rPr>
              <w:t xml:space="preserve"> of</w:t>
            </w:r>
            <w:r>
              <w:rPr>
                <w:rFonts w:ascii="Times New Roman" w:hAnsi="Times New Roman" w:cs="Times New Roman"/>
                <w:sz w:val="24"/>
                <w:szCs w:val="24"/>
              </w:rPr>
              <w:t xml:space="preserve"> Action Plan by </w:t>
            </w:r>
            <w:r w:rsidR="0094709C">
              <w:rPr>
                <w:rFonts w:ascii="Times New Roman" w:hAnsi="Times New Roman" w:cs="Times New Roman"/>
                <w:sz w:val="24"/>
                <w:szCs w:val="24"/>
              </w:rPr>
              <w:t>TPC</w:t>
            </w:r>
            <w:r w:rsidRPr="004E304C">
              <w:rPr>
                <w:rFonts w:ascii="Times New Roman" w:hAnsi="Times New Roman" w:cs="Times New Roman"/>
                <w:sz w:val="24"/>
                <w:szCs w:val="24"/>
              </w:rPr>
              <w:t xml:space="preserve"> Sector, MOH Malaysia</w:t>
            </w:r>
          </w:p>
        </w:tc>
      </w:tr>
      <w:tr w:rsidR="004E304C" w:rsidTr="00115A9A">
        <w:tc>
          <w:tcPr>
            <w:tcW w:w="1271" w:type="dxa"/>
          </w:tcPr>
          <w:p w:rsidR="004E304C" w:rsidRDefault="004E304C" w:rsidP="00E205BC">
            <w:pPr>
              <w:spacing w:line="360" w:lineRule="auto"/>
              <w:rPr>
                <w:rFonts w:ascii="Times New Roman" w:hAnsi="Times New Roman" w:cs="Times New Roman"/>
                <w:sz w:val="24"/>
                <w:szCs w:val="24"/>
              </w:rPr>
            </w:pPr>
            <w:r>
              <w:rPr>
                <w:rFonts w:ascii="Times New Roman" w:hAnsi="Times New Roman" w:cs="Times New Roman"/>
                <w:sz w:val="24"/>
                <w:szCs w:val="24"/>
              </w:rPr>
              <w:t>2.30 pm</w:t>
            </w:r>
          </w:p>
        </w:tc>
        <w:tc>
          <w:tcPr>
            <w:tcW w:w="7938" w:type="dxa"/>
            <w:gridSpan w:val="3"/>
          </w:tcPr>
          <w:p w:rsidR="004E304C" w:rsidRDefault="004E304C" w:rsidP="004E304C">
            <w:pPr>
              <w:spacing w:line="360" w:lineRule="auto"/>
              <w:rPr>
                <w:rFonts w:ascii="Times New Roman" w:hAnsi="Times New Roman" w:cs="Times New Roman"/>
                <w:sz w:val="24"/>
                <w:szCs w:val="24"/>
              </w:rPr>
            </w:pPr>
            <w:r w:rsidRPr="004E304C">
              <w:rPr>
                <w:rFonts w:ascii="Times New Roman" w:hAnsi="Times New Roman" w:cs="Times New Roman"/>
                <w:sz w:val="24"/>
                <w:szCs w:val="24"/>
              </w:rPr>
              <w:t xml:space="preserve">Group activity: </w:t>
            </w:r>
            <w:r>
              <w:rPr>
                <w:rFonts w:ascii="Times New Roman" w:hAnsi="Times New Roman" w:cs="Times New Roman"/>
                <w:sz w:val="24"/>
                <w:szCs w:val="24"/>
              </w:rPr>
              <w:t>6 month action plan development</w:t>
            </w:r>
          </w:p>
        </w:tc>
      </w:tr>
      <w:tr w:rsidR="007E0832" w:rsidTr="00115A9A">
        <w:tc>
          <w:tcPr>
            <w:tcW w:w="1271" w:type="dxa"/>
          </w:tcPr>
          <w:p w:rsidR="007E0832" w:rsidRDefault="004E304C" w:rsidP="00E205BC">
            <w:pPr>
              <w:spacing w:line="360" w:lineRule="auto"/>
              <w:rPr>
                <w:rFonts w:ascii="Times New Roman" w:hAnsi="Times New Roman" w:cs="Times New Roman"/>
                <w:sz w:val="24"/>
                <w:szCs w:val="24"/>
              </w:rPr>
            </w:pPr>
            <w:r>
              <w:rPr>
                <w:rFonts w:ascii="Times New Roman" w:hAnsi="Times New Roman" w:cs="Times New Roman"/>
                <w:sz w:val="24"/>
                <w:szCs w:val="24"/>
              </w:rPr>
              <w:t>3</w:t>
            </w:r>
            <w:r w:rsidR="007E0832">
              <w:rPr>
                <w:rFonts w:ascii="Times New Roman" w:hAnsi="Times New Roman" w:cs="Times New Roman"/>
                <w:sz w:val="24"/>
                <w:szCs w:val="24"/>
              </w:rPr>
              <w:t>.30 pm</w:t>
            </w:r>
          </w:p>
        </w:tc>
        <w:tc>
          <w:tcPr>
            <w:tcW w:w="7938" w:type="dxa"/>
            <w:gridSpan w:val="3"/>
          </w:tcPr>
          <w:p w:rsidR="007E0832" w:rsidRDefault="004E304C" w:rsidP="00E205BC">
            <w:pPr>
              <w:spacing w:line="360" w:lineRule="auto"/>
              <w:rPr>
                <w:rFonts w:ascii="Times New Roman" w:hAnsi="Times New Roman" w:cs="Times New Roman"/>
                <w:sz w:val="24"/>
                <w:szCs w:val="24"/>
              </w:rPr>
            </w:pPr>
            <w:r w:rsidRPr="004E304C">
              <w:rPr>
                <w:rFonts w:ascii="Times New Roman" w:hAnsi="Times New Roman" w:cs="Times New Roman"/>
                <w:sz w:val="24"/>
                <w:szCs w:val="24"/>
              </w:rPr>
              <w:t>Group presentation</w:t>
            </w:r>
          </w:p>
        </w:tc>
      </w:tr>
      <w:tr w:rsidR="004E304C" w:rsidTr="00115A9A">
        <w:tc>
          <w:tcPr>
            <w:tcW w:w="1271" w:type="dxa"/>
          </w:tcPr>
          <w:p w:rsidR="004E304C" w:rsidRDefault="004E304C" w:rsidP="00E205BC">
            <w:pPr>
              <w:spacing w:line="360" w:lineRule="auto"/>
              <w:rPr>
                <w:rFonts w:ascii="Times New Roman" w:hAnsi="Times New Roman" w:cs="Times New Roman"/>
                <w:sz w:val="24"/>
                <w:szCs w:val="24"/>
              </w:rPr>
            </w:pPr>
            <w:r>
              <w:rPr>
                <w:rFonts w:ascii="Times New Roman" w:hAnsi="Times New Roman" w:cs="Times New Roman"/>
                <w:sz w:val="24"/>
                <w:szCs w:val="24"/>
              </w:rPr>
              <w:t>4.30 pm</w:t>
            </w:r>
          </w:p>
        </w:tc>
        <w:tc>
          <w:tcPr>
            <w:tcW w:w="7938" w:type="dxa"/>
            <w:gridSpan w:val="3"/>
          </w:tcPr>
          <w:p w:rsidR="004E304C" w:rsidRDefault="004E304C" w:rsidP="00E205BC">
            <w:pPr>
              <w:spacing w:line="360" w:lineRule="auto"/>
              <w:rPr>
                <w:rFonts w:ascii="Times New Roman" w:hAnsi="Times New Roman" w:cs="Times New Roman"/>
                <w:sz w:val="24"/>
                <w:szCs w:val="24"/>
              </w:rPr>
            </w:pPr>
            <w:r>
              <w:rPr>
                <w:rFonts w:ascii="Times New Roman" w:hAnsi="Times New Roman" w:cs="Times New Roman"/>
                <w:sz w:val="24"/>
                <w:szCs w:val="24"/>
              </w:rPr>
              <w:t>Conclusion</w:t>
            </w:r>
          </w:p>
        </w:tc>
      </w:tr>
    </w:tbl>
    <w:p w:rsidR="003B1F1B" w:rsidRDefault="003B1F1B" w:rsidP="003B1F1B">
      <w:pPr>
        <w:spacing w:after="0" w:line="360" w:lineRule="auto"/>
        <w:rPr>
          <w:rFonts w:ascii="Times New Roman" w:hAnsi="Times New Roman" w:cs="Times New Roman"/>
          <w:sz w:val="24"/>
          <w:szCs w:val="24"/>
        </w:rPr>
      </w:pPr>
    </w:p>
    <w:p w:rsidR="001A139A" w:rsidRDefault="001A139A" w:rsidP="001A139A">
      <w:pPr>
        <w:spacing w:line="360" w:lineRule="auto"/>
        <w:rPr>
          <w:rFonts w:ascii="Times New Roman" w:hAnsi="Times New Roman" w:cs="Times New Roman"/>
          <w:sz w:val="24"/>
          <w:szCs w:val="24"/>
        </w:rPr>
      </w:pPr>
      <w:r>
        <w:rPr>
          <w:rFonts w:ascii="Times New Roman" w:hAnsi="Times New Roman" w:cs="Times New Roman"/>
          <w:sz w:val="24"/>
          <w:szCs w:val="24"/>
        </w:rPr>
        <w:t>Day 2</w:t>
      </w:r>
    </w:p>
    <w:tbl>
      <w:tblPr>
        <w:tblStyle w:val="TableGrid"/>
        <w:tblW w:w="0" w:type="auto"/>
        <w:tblLook w:val="04A0" w:firstRow="1" w:lastRow="0" w:firstColumn="1" w:lastColumn="0" w:noHBand="0" w:noVBand="1"/>
      </w:tblPr>
      <w:tblGrid>
        <w:gridCol w:w="1288"/>
        <w:gridCol w:w="2688"/>
        <w:gridCol w:w="1981"/>
        <w:gridCol w:w="3059"/>
      </w:tblGrid>
      <w:tr w:rsidR="001A139A" w:rsidTr="00561FA5">
        <w:tc>
          <w:tcPr>
            <w:tcW w:w="1288" w:type="dxa"/>
            <w:shd w:val="pct10" w:color="auto" w:fill="auto"/>
          </w:tcPr>
          <w:p w:rsidR="001A139A" w:rsidRDefault="001A139A" w:rsidP="00E205BC">
            <w:pPr>
              <w:spacing w:line="360" w:lineRule="auto"/>
              <w:rPr>
                <w:rFonts w:ascii="Times New Roman" w:hAnsi="Times New Roman" w:cs="Times New Roman"/>
                <w:sz w:val="24"/>
                <w:szCs w:val="24"/>
              </w:rPr>
            </w:pPr>
            <w:r>
              <w:rPr>
                <w:rFonts w:ascii="Times New Roman" w:hAnsi="Times New Roman" w:cs="Times New Roman"/>
                <w:sz w:val="24"/>
                <w:szCs w:val="24"/>
              </w:rPr>
              <w:t xml:space="preserve">Time </w:t>
            </w:r>
          </w:p>
        </w:tc>
        <w:tc>
          <w:tcPr>
            <w:tcW w:w="7728" w:type="dxa"/>
            <w:gridSpan w:val="3"/>
            <w:shd w:val="pct10" w:color="auto" w:fill="auto"/>
          </w:tcPr>
          <w:p w:rsidR="001A139A" w:rsidRDefault="001A139A" w:rsidP="00E205BC">
            <w:pPr>
              <w:spacing w:line="360" w:lineRule="auto"/>
              <w:rPr>
                <w:rFonts w:ascii="Times New Roman" w:hAnsi="Times New Roman" w:cs="Times New Roman"/>
                <w:sz w:val="24"/>
                <w:szCs w:val="24"/>
              </w:rPr>
            </w:pPr>
            <w:r>
              <w:rPr>
                <w:rFonts w:ascii="Times New Roman" w:hAnsi="Times New Roman" w:cs="Times New Roman"/>
                <w:sz w:val="24"/>
                <w:szCs w:val="24"/>
              </w:rPr>
              <w:t>Activity</w:t>
            </w:r>
          </w:p>
        </w:tc>
      </w:tr>
      <w:tr w:rsidR="001A139A" w:rsidTr="00561FA5">
        <w:tc>
          <w:tcPr>
            <w:tcW w:w="1288" w:type="dxa"/>
          </w:tcPr>
          <w:p w:rsidR="001A139A" w:rsidRDefault="00960FCA" w:rsidP="00E205BC">
            <w:pPr>
              <w:spacing w:line="360" w:lineRule="auto"/>
              <w:rPr>
                <w:rFonts w:ascii="Times New Roman" w:hAnsi="Times New Roman" w:cs="Times New Roman"/>
                <w:sz w:val="24"/>
                <w:szCs w:val="24"/>
              </w:rPr>
            </w:pPr>
            <w:r>
              <w:rPr>
                <w:rFonts w:ascii="Times New Roman" w:hAnsi="Times New Roman" w:cs="Times New Roman"/>
                <w:sz w:val="24"/>
                <w:szCs w:val="24"/>
              </w:rPr>
              <w:t>8.30 am</w:t>
            </w:r>
          </w:p>
        </w:tc>
        <w:tc>
          <w:tcPr>
            <w:tcW w:w="7728" w:type="dxa"/>
            <w:gridSpan w:val="3"/>
          </w:tcPr>
          <w:p w:rsidR="001A139A" w:rsidRDefault="001249C0" w:rsidP="00E205BC">
            <w:pPr>
              <w:spacing w:line="360" w:lineRule="auto"/>
              <w:rPr>
                <w:rFonts w:ascii="Times New Roman" w:hAnsi="Times New Roman" w:cs="Times New Roman"/>
                <w:sz w:val="24"/>
                <w:szCs w:val="24"/>
              </w:rPr>
            </w:pPr>
            <w:r>
              <w:rPr>
                <w:rFonts w:ascii="Times New Roman" w:hAnsi="Times New Roman" w:cs="Times New Roman"/>
                <w:sz w:val="24"/>
                <w:szCs w:val="24"/>
              </w:rPr>
              <w:t>Microtraining</w:t>
            </w:r>
            <w:r w:rsidR="00960FCA" w:rsidRPr="00960FCA">
              <w:rPr>
                <w:rFonts w:ascii="Times New Roman" w:hAnsi="Times New Roman" w:cs="Times New Roman"/>
                <w:sz w:val="24"/>
                <w:szCs w:val="24"/>
              </w:rPr>
              <w:t>, Health Promotion Division</w:t>
            </w:r>
          </w:p>
        </w:tc>
      </w:tr>
      <w:tr w:rsidR="001A139A" w:rsidTr="00561FA5">
        <w:tc>
          <w:tcPr>
            <w:tcW w:w="1288" w:type="dxa"/>
          </w:tcPr>
          <w:p w:rsidR="001A139A" w:rsidRDefault="00960FCA" w:rsidP="00E205BC">
            <w:pPr>
              <w:spacing w:line="360" w:lineRule="auto"/>
              <w:rPr>
                <w:rFonts w:ascii="Times New Roman" w:hAnsi="Times New Roman" w:cs="Times New Roman"/>
                <w:sz w:val="24"/>
                <w:szCs w:val="24"/>
              </w:rPr>
            </w:pPr>
            <w:r>
              <w:rPr>
                <w:rFonts w:ascii="Times New Roman" w:hAnsi="Times New Roman" w:cs="Times New Roman"/>
                <w:sz w:val="24"/>
                <w:szCs w:val="24"/>
              </w:rPr>
              <w:t>9.00 am</w:t>
            </w:r>
          </w:p>
        </w:tc>
        <w:tc>
          <w:tcPr>
            <w:tcW w:w="7728" w:type="dxa"/>
            <w:gridSpan w:val="3"/>
          </w:tcPr>
          <w:p w:rsidR="001A139A" w:rsidRDefault="00226E78" w:rsidP="00523E83">
            <w:pPr>
              <w:spacing w:line="360" w:lineRule="auto"/>
              <w:rPr>
                <w:rFonts w:ascii="Times New Roman" w:hAnsi="Times New Roman" w:cs="Times New Roman"/>
                <w:sz w:val="24"/>
                <w:szCs w:val="24"/>
              </w:rPr>
            </w:pPr>
            <w:r>
              <w:rPr>
                <w:rFonts w:ascii="Times New Roman" w:hAnsi="Times New Roman" w:cs="Times New Roman"/>
                <w:sz w:val="24"/>
                <w:szCs w:val="24"/>
              </w:rPr>
              <w:t>T</w:t>
            </w:r>
            <w:r w:rsidR="00523E83">
              <w:rPr>
                <w:rFonts w:ascii="Times New Roman" w:hAnsi="Times New Roman" w:cs="Times New Roman"/>
                <w:sz w:val="24"/>
                <w:szCs w:val="24"/>
              </w:rPr>
              <w:t>utorial videos story board and script</w:t>
            </w:r>
            <w:r w:rsidR="00960FCA">
              <w:rPr>
                <w:rFonts w:ascii="Times New Roman" w:hAnsi="Times New Roman" w:cs="Times New Roman"/>
                <w:sz w:val="24"/>
                <w:szCs w:val="24"/>
              </w:rPr>
              <w:t>, Health Promotion Division</w:t>
            </w:r>
          </w:p>
        </w:tc>
      </w:tr>
      <w:tr w:rsidR="00226E78" w:rsidTr="00561FA5">
        <w:tc>
          <w:tcPr>
            <w:tcW w:w="1288" w:type="dxa"/>
          </w:tcPr>
          <w:p w:rsidR="00226E78" w:rsidRDefault="00226E78" w:rsidP="00E205BC">
            <w:pPr>
              <w:spacing w:line="360" w:lineRule="auto"/>
              <w:rPr>
                <w:rFonts w:ascii="Times New Roman" w:hAnsi="Times New Roman" w:cs="Times New Roman"/>
                <w:sz w:val="24"/>
                <w:szCs w:val="24"/>
              </w:rPr>
            </w:pPr>
            <w:r>
              <w:rPr>
                <w:rFonts w:ascii="Times New Roman" w:hAnsi="Times New Roman" w:cs="Times New Roman"/>
                <w:sz w:val="24"/>
                <w:szCs w:val="24"/>
              </w:rPr>
              <w:t>9.30 am</w:t>
            </w:r>
          </w:p>
        </w:tc>
        <w:tc>
          <w:tcPr>
            <w:tcW w:w="7728" w:type="dxa"/>
            <w:gridSpan w:val="3"/>
          </w:tcPr>
          <w:p w:rsidR="00226E78" w:rsidRDefault="00226E78" w:rsidP="00523E83">
            <w:pPr>
              <w:spacing w:line="360" w:lineRule="auto"/>
              <w:rPr>
                <w:rFonts w:ascii="Times New Roman" w:hAnsi="Times New Roman" w:cs="Times New Roman"/>
                <w:sz w:val="24"/>
                <w:szCs w:val="24"/>
              </w:rPr>
            </w:pPr>
            <w:r>
              <w:rPr>
                <w:rFonts w:ascii="Times New Roman" w:hAnsi="Times New Roman" w:cs="Times New Roman"/>
                <w:sz w:val="24"/>
                <w:szCs w:val="24"/>
              </w:rPr>
              <w:t>Maki</w:t>
            </w:r>
            <w:r w:rsidR="002D6C5D">
              <w:rPr>
                <w:rFonts w:ascii="Times New Roman" w:hAnsi="Times New Roman" w:cs="Times New Roman"/>
                <w:sz w:val="24"/>
                <w:szCs w:val="24"/>
              </w:rPr>
              <w:t>ng tutorial videos using Filmora</w:t>
            </w:r>
            <w:r>
              <w:rPr>
                <w:rFonts w:ascii="Times New Roman" w:hAnsi="Times New Roman" w:cs="Times New Roman"/>
                <w:sz w:val="24"/>
                <w:szCs w:val="24"/>
              </w:rPr>
              <w:t>, Health Promotion Division</w:t>
            </w:r>
          </w:p>
        </w:tc>
      </w:tr>
      <w:tr w:rsidR="007071FB" w:rsidTr="00561FA5">
        <w:tc>
          <w:tcPr>
            <w:tcW w:w="1288" w:type="dxa"/>
          </w:tcPr>
          <w:p w:rsidR="007071FB" w:rsidRDefault="007071FB" w:rsidP="007071FB">
            <w:pPr>
              <w:spacing w:line="360" w:lineRule="auto"/>
              <w:rPr>
                <w:rFonts w:ascii="Times New Roman" w:hAnsi="Times New Roman" w:cs="Times New Roman"/>
                <w:sz w:val="24"/>
                <w:szCs w:val="24"/>
              </w:rPr>
            </w:pPr>
          </w:p>
        </w:tc>
        <w:tc>
          <w:tcPr>
            <w:tcW w:w="2688" w:type="dxa"/>
          </w:tcPr>
          <w:p w:rsidR="007071FB" w:rsidRDefault="007071FB" w:rsidP="007071FB">
            <w:pPr>
              <w:spacing w:line="360" w:lineRule="auto"/>
              <w:rPr>
                <w:rFonts w:ascii="Times New Roman" w:hAnsi="Times New Roman" w:cs="Times New Roman"/>
                <w:sz w:val="24"/>
                <w:szCs w:val="24"/>
              </w:rPr>
            </w:pPr>
            <w:r>
              <w:rPr>
                <w:rFonts w:ascii="Times New Roman" w:hAnsi="Times New Roman" w:cs="Times New Roman"/>
                <w:sz w:val="24"/>
                <w:szCs w:val="24"/>
              </w:rPr>
              <w:t xml:space="preserve">Group 1: Outpatient </w:t>
            </w:r>
          </w:p>
        </w:tc>
        <w:tc>
          <w:tcPr>
            <w:tcW w:w="1981" w:type="dxa"/>
          </w:tcPr>
          <w:p w:rsidR="007071FB" w:rsidRDefault="007071FB" w:rsidP="002F19F8">
            <w:pPr>
              <w:spacing w:line="360" w:lineRule="auto"/>
              <w:rPr>
                <w:rFonts w:ascii="Times New Roman" w:hAnsi="Times New Roman" w:cs="Times New Roman"/>
                <w:sz w:val="24"/>
                <w:szCs w:val="24"/>
              </w:rPr>
            </w:pPr>
            <w:r>
              <w:rPr>
                <w:rFonts w:ascii="Times New Roman" w:hAnsi="Times New Roman" w:cs="Times New Roman"/>
                <w:sz w:val="24"/>
                <w:szCs w:val="24"/>
              </w:rPr>
              <w:t xml:space="preserve">Group 2: </w:t>
            </w:r>
            <w:r w:rsidR="002F19F8">
              <w:rPr>
                <w:rFonts w:ascii="Times New Roman" w:hAnsi="Times New Roman" w:cs="Times New Roman"/>
                <w:sz w:val="24"/>
                <w:szCs w:val="24"/>
              </w:rPr>
              <w:t>MCH</w:t>
            </w:r>
          </w:p>
        </w:tc>
        <w:tc>
          <w:tcPr>
            <w:tcW w:w="3059" w:type="dxa"/>
          </w:tcPr>
          <w:p w:rsidR="007071FB" w:rsidRDefault="007071FB" w:rsidP="007071FB">
            <w:pPr>
              <w:spacing w:line="360" w:lineRule="auto"/>
              <w:rPr>
                <w:rFonts w:ascii="Times New Roman" w:hAnsi="Times New Roman" w:cs="Times New Roman"/>
                <w:sz w:val="24"/>
                <w:szCs w:val="24"/>
              </w:rPr>
            </w:pPr>
            <w:r>
              <w:rPr>
                <w:rFonts w:ascii="Times New Roman" w:hAnsi="Times New Roman" w:cs="Times New Roman"/>
                <w:sz w:val="24"/>
                <w:szCs w:val="24"/>
              </w:rPr>
              <w:t>Group 3:</w:t>
            </w:r>
            <w:r w:rsidR="002F19F8">
              <w:rPr>
                <w:rFonts w:ascii="Times New Roman" w:hAnsi="Times New Roman" w:cs="Times New Roman"/>
                <w:sz w:val="24"/>
                <w:szCs w:val="24"/>
              </w:rPr>
              <w:t xml:space="preserve"> </w:t>
            </w:r>
            <w:r>
              <w:rPr>
                <w:rFonts w:ascii="Times New Roman" w:hAnsi="Times New Roman" w:cs="Times New Roman"/>
                <w:sz w:val="24"/>
                <w:szCs w:val="24"/>
              </w:rPr>
              <w:t>Allied Health</w:t>
            </w:r>
          </w:p>
        </w:tc>
      </w:tr>
      <w:tr w:rsidR="001A139A" w:rsidTr="00561FA5">
        <w:tc>
          <w:tcPr>
            <w:tcW w:w="1288" w:type="dxa"/>
          </w:tcPr>
          <w:p w:rsidR="001A139A" w:rsidRDefault="00226E78" w:rsidP="00E205BC">
            <w:pPr>
              <w:spacing w:line="360" w:lineRule="auto"/>
              <w:rPr>
                <w:rFonts w:ascii="Times New Roman" w:hAnsi="Times New Roman" w:cs="Times New Roman"/>
                <w:sz w:val="24"/>
                <w:szCs w:val="24"/>
              </w:rPr>
            </w:pPr>
            <w:r>
              <w:rPr>
                <w:rFonts w:ascii="Times New Roman" w:hAnsi="Times New Roman" w:cs="Times New Roman"/>
                <w:sz w:val="24"/>
                <w:szCs w:val="24"/>
              </w:rPr>
              <w:t>10.0</w:t>
            </w:r>
            <w:r w:rsidR="00523E83">
              <w:rPr>
                <w:rFonts w:ascii="Times New Roman" w:hAnsi="Times New Roman" w:cs="Times New Roman"/>
                <w:sz w:val="24"/>
                <w:szCs w:val="24"/>
              </w:rPr>
              <w:t>0 am</w:t>
            </w:r>
          </w:p>
        </w:tc>
        <w:tc>
          <w:tcPr>
            <w:tcW w:w="7728" w:type="dxa"/>
            <w:gridSpan w:val="3"/>
          </w:tcPr>
          <w:p w:rsidR="001A139A" w:rsidRDefault="00226E78" w:rsidP="00E205BC">
            <w:pPr>
              <w:spacing w:line="360" w:lineRule="auto"/>
              <w:rPr>
                <w:rFonts w:ascii="Times New Roman" w:hAnsi="Times New Roman" w:cs="Times New Roman"/>
                <w:sz w:val="24"/>
                <w:szCs w:val="24"/>
              </w:rPr>
            </w:pPr>
            <w:r>
              <w:rPr>
                <w:rFonts w:ascii="Times New Roman" w:hAnsi="Times New Roman" w:cs="Times New Roman"/>
                <w:sz w:val="24"/>
                <w:szCs w:val="24"/>
              </w:rPr>
              <w:t xml:space="preserve">Group activity: </w:t>
            </w:r>
            <w:r w:rsidR="007071FB">
              <w:rPr>
                <w:rFonts w:ascii="Times New Roman" w:hAnsi="Times New Roman" w:cs="Times New Roman"/>
                <w:sz w:val="24"/>
                <w:szCs w:val="24"/>
              </w:rPr>
              <w:t>Development of story boa</w:t>
            </w:r>
            <w:r w:rsidR="005D7627">
              <w:rPr>
                <w:rFonts w:ascii="Times New Roman" w:hAnsi="Times New Roman" w:cs="Times New Roman"/>
                <w:sz w:val="24"/>
                <w:szCs w:val="24"/>
              </w:rPr>
              <w:t>rd and script</w:t>
            </w:r>
          </w:p>
        </w:tc>
      </w:tr>
      <w:tr w:rsidR="001A139A" w:rsidTr="00561FA5">
        <w:tc>
          <w:tcPr>
            <w:tcW w:w="1288" w:type="dxa"/>
          </w:tcPr>
          <w:p w:rsidR="001A139A" w:rsidRDefault="00226E78" w:rsidP="00E205BC">
            <w:pPr>
              <w:spacing w:line="360" w:lineRule="auto"/>
              <w:rPr>
                <w:rFonts w:ascii="Times New Roman" w:hAnsi="Times New Roman" w:cs="Times New Roman"/>
                <w:sz w:val="24"/>
                <w:szCs w:val="24"/>
              </w:rPr>
            </w:pPr>
            <w:r>
              <w:rPr>
                <w:rFonts w:ascii="Times New Roman" w:hAnsi="Times New Roman" w:cs="Times New Roman"/>
                <w:sz w:val="24"/>
                <w:szCs w:val="24"/>
              </w:rPr>
              <w:t>11.30 a</w:t>
            </w:r>
            <w:r w:rsidR="008D6085">
              <w:rPr>
                <w:rFonts w:ascii="Times New Roman" w:hAnsi="Times New Roman" w:cs="Times New Roman"/>
                <w:sz w:val="24"/>
                <w:szCs w:val="24"/>
              </w:rPr>
              <w:t>m</w:t>
            </w:r>
          </w:p>
        </w:tc>
        <w:tc>
          <w:tcPr>
            <w:tcW w:w="7728" w:type="dxa"/>
            <w:gridSpan w:val="3"/>
          </w:tcPr>
          <w:p w:rsidR="001A139A" w:rsidRDefault="008D6085" w:rsidP="00E205BC">
            <w:pPr>
              <w:spacing w:line="360" w:lineRule="auto"/>
              <w:rPr>
                <w:rFonts w:ascii="Times New Roman" w:hAnsi="Times New Roman" w:cs="Times New Roman"/>
                <w:sz w:val="24"/>
                <w:szCs w:val="24"/>
              </w:rPr>
            </w:pPr>
            <w:r w:rsidRPr="008D6085">
              <w:rPr>
                <w:rFonts w:ascii="Times New Roman" w:hAnsi="Times New Roman" w:cs="Times New Roman"/>
                <w:sz w:val="24"/>
                <w:szCs w:val="24"/>
              </w:rPr>
              <w:t>Presentation of story board, script and infographics drafts</w:t>
            </w:r>
          </w:p>
        </w:tc>
      </w:tr>
      <w:tr w:rsidR="00226E78" w:rsidTr="00561FA5">
        <w:tc>
          <w:tcPr>
            <w:tcW w:w="1288" w:type="dxa"/>
          </w:tcPr>
          <w:p w:rsidR="00226E78" w:rsidRDefault="00226E78" w:rsidP="00E205BC">
            <w:pPr>
              <w:spacing w:line="360" w:lineRule="auto"/>
              <w:rPr>
                <w:rFonts w:ascii="Times New Roman" w:hAnsi="Times New Roman" w:cs="Times New Roman"/>
                <w:sz w:val="24"/>
                <w:szCs w:val="24"/>
              </w:rPr>
            </w:pPr>
            <w:r>
              <w:rPr>
                <w:rFonts w:ascii="Times New Roman" w:hAnsi="Times New Roman" w:cs="Times New Roman"/>
                <w:sz w:val="24"/>
                <w:szCs w:val="24"/>
              </w:rPr>
              <w:t>12.30 pm</w:t>
            </w:r>
          </w:p>
        </w:tc>
        <w:tc>
          <w:tcPr>
            <w:tcW w:w="7728" w:type="dxa"/>
            <w:gridSpan w:val="3"/>
          </w:tcPr>
          <w:p w:rsidR="00226E78" w:rsidRPr="008D6085" w:rsidRDefault="00226E78" w:rsidP="00E205BC">
            <w:pPr>
              <w:spacing w:line="360" w:lineRule="auto"/>
              <w:rPr>
                <w:rFonts w:ascii="Times New Roman" w:hAnsi="Times New Roman" w:cs="Times New Roman"/>
                <w:sz w:val="24"/>
                <w:szCs w:val="24"/>
              </w:rPr>
            </w:pPr>
            <w:r>
              <w:rPr>
                <w:rFonts w:ascii="Times New Roman" w:hAnsi="Times New Roman" w:cs="Times New Roman"/>
                <w:sz w:val="24"/>
                <w:szCs w:val="24"/>
              </w:rPr>
              <w:t>Lunch break</w:t>
            </w:r>
          </w:p>
        </w:tc>
      </w:tr>
      <w:tr w:rsidR="001A139A" w:rsidTr="00561FA5">
        <w:tc>
          <w:tcPr>
            <w:tcW w:w="1288" w:type="dxa"/>
          </w:tcPr>
          <w:p w:rsidR="001A139A" w:rsidRDefault="00226E78" w:rsidP="00E205BC">
            <w:pPr>
              <w:spacing w:line="360" w:lineRule="auto"/>
              <w:rPr>
                <w:rFonts w:ascii="Times New Roman" w:hAnsi="Times New Roman" w:cs="Times New Roman"/>
                <w:sz w:val="24"/>
                <w:szCs w:val="24"/>
              </w:rPr>
            </w:pPr>
            <w:r>
              <w:rPr>
                <w:rFonts w:ascii="Times New Roman" w:hAnsi="Times New Roman" w:cs="Times New Roman"/>
                <w:sz w:val="24"/>
                <w:szCs w:val="24"/>
              </w:rPr>
              <w:t>2</w:t>
            </w:r>
            <w:r w:rsidR="008D6085">
              <w:rPr>
                <w:rFonts w:ascii="Times New Roman" w:hAnsi="Times New Roman" w:cs="Times New Roman"/>
                <w:sz w:val="24"/>
                <w:szCs w:val="24"/>
              </w:rPr>
              <w:t>.00 pm</w:t>
            </w:r>
          </w:p>
        </w:tc>
        <w:tc>
          <w:tcPr>
            <w:tcW w:w="7728" w:type="dxa"/>
            <w:gridSpan w:val="3"/>
          </w:tcPr>
          <w:p w:rsidR="001A139A" w:rsidRDefault="005D7627" w:rsidP="003B1F1B">
            <w:pPr>
              <w:spacing w:line="360" w:lineRule="auto"/>
              <w:rPr>
                <w:rFonts w:ascii="Times New Roman" w:hAnsi="Times New Roman" w:cs="Times New Roman"/>
                <w:sz w:val="24"/>
                <w:szCs w:val="24"/>
              </w:rPr>
            </w:pPr>
            <w:r>
              <w:rPr>
                <w:rFonts w:ascii="Times New Roman" w:hAnsi="Times New Roman" w:cs="Times New Roman"/>
                <w:sz w:val="24"/>
                <w:szCs w:val="24"/>
              </w:rPr>
              <w:t>Group work: Ma</w:t>
            </w:r>
            <w:r w:rsidR="002D6C5D">
              <w:rPr>
                <w:rFonts w:ascii="Times New Roman" w:hAnsi="Times New Roman" w:cs="Times New Roman"/>
                <w:sz w:val="24"/>
                <w:szCs w:val="24"/>
              </w:rPr>
              <w:t>king online course using Filmora</w:t>
            </w:r>
          </w:p>
        </w:tc>
      </w:tr>
      <w:tr w:rsidR="001A139A" w:rsidTr="00561FA5">
        <w:tc>
          <w:tcPr>
            <w:tcW w:w="1288" w:type="dxa"/>
          </w:tcPr>
          <w:p w:rsidR="001A139A" w:rsidRDefault="003C00D0" w:rsidP="00E205BC">
            <w:pPr>
              <w:spacing w:line="360" w:lineRule="auto"/>
              <w:rPr>
                <w:rFonts w:ascii="Times New Roman" w:hAnsi="Times New Roman" w:cs="Times New Roman"/>
                <w:sz w:val="24"/>
                <w:szCs w:val="24"/>
              </w:rPr>
            </w:pPr>
            <w:r>
              <w:rPr>
                <w:rFonts w:ascii="Times New Roman" w:hAnsi="Times New Roman" w:cs="Times New Roman"/>
                <w:sz w:val="24"/>
                <w:szCs w:val="24"/>
              </w:rPr>
              <w:t>3.0</w:t>
            </w:r>
            <w:r w:rsidR="008D6085">
              <w:rPr>
                <w:rFonts w:ascii="Times New Roman" w:hAnsi="Times New Roman" w:cs="Times New Roman"/>
                <w:sz w:val="24"/>
                <w:szCs w:val="24"/>
              </w:rPr>
              <w:t>0 pm</w:t>
            </w:r>
          </w:p>
        </w:tc>
        <w:tc>
          <w:tcPr>
            <w:tcW w:w="7728" w:type="dxa"/>
            <w:gridSpan w:val="3"/>
          </w:tcPr>
          <w:p w:rsidR="001A139A" w:rsidRDefault="008255AA" w:rsidP="00E205BC">
            <w:pPr>
              <w:spacing w:line="360" w:lineRule="auto"/>
              <w:rPr>
                <w:rFonts w:ascii="Times New Roman" w:hAnsi="Times New Roman" w:cs="Times New Roman"/>
                <w:sz w:val="24"/>
                <w:szCs w:val="24"/>
              </w:rPr>
            </w:pPr>
            <w:r>
              <w:rPr>
                <w:rFonts w:ascii="Times New Roman" w:hAnsi="Times New Roman" w:cs="Times New Roman"/>
                <w:sz w:val="24"/>
                <w:szCs w:val="24"/>
              </w:rPr>
              <w:t>Group work: Mak</w:t>
            </w:r>
            <w:r w:rsidR="002D6C5D">
              <w:rPr>
                <w:rFonts w:ascii="Times New Roman" w:hAnsi="Times New Roman" w:cs="Times New Roman"/>
                <w:sz w:val="24"/>
                <w:szCs w:val="24"/>
              </w:rPr>
              <w:t>ing Tutorial video using Filmora</w:t>
            </w:r>
            <w:bookmarkStart w:id="16" w:name="_GoBack"/>
            <w:bookmarkEnd w:id="16"/>
          </w:p>
        </w:tc>
      </w:tr>
      <w:tr w:rsidR="001A139A" w:rsidTr="00561FA5">
        <w:tc>
          <w:tcPr>
            <w:tcW w:w="1288" w:type="dxa"/>
          </w:tcPr>
          <w:p w:rsidR="001A139A" w:rsidRDefault="008255AA" w:rsidP="00E205BC">
            <w:pPr>
              <w:spacing w:line="360" w:lineRule="auto"/>
              <w:rPr>
                <w:rFonts w:ascii="Times New Roman" w:hAnsi="Times New Roman" w:cs="Times New Roman"/>
                <w:sz w:val="24"/>
                <w:szCs w:val="24"/>
              </w:rPr>
            </w:pPr>
            <w:r>
              <w:rPr>
                <w:rFonts w:ascii="Times New Roman" w:hAnsi="Times New Roman" w:cs="Times New Roman"/>
                <w:sz w:val="24"/>
                <w:szCs w:val="24"/>
              </w:rPr>
              <w:t>4.3</w:t>
            </w:r>
            <w:r w:rsidR="008D6085">
              <w:rPr>
                <w:rFonts w:ascii="Times New Roman" w:hAnsi="Times New Roman" w:cs="Times New Roman"/>
                <w:sz w:val="24"/>
                <w:szCs w:val="24"/>
              </w:rPr>
              <w:t>0 pm</w:t>
            </w:r>
          </w:p>
        </w:tc>
        <w:tc>
          <w:tcPr>
            <w:tcW w:w="7728" w:type="dxa"/>
            <w:gridSpan w:val="3"/>
          </w:tcPr>
          <w:p w:rsidR="001A139A" w:rsidRDefault="008D6085" w:rsidP="00E205BC">
            <w:pPr>
              <w:spacing w:line="360" w:lineRule="auto"/>
              <w:rPr>
                <w:rFonts w:ascii="Times New Roman" w:hAnsi="Times New Roman" w:cs="Times New Roman"/>
                <w:sz w:val="24"/>
                <w:szCs w:val="24"/>
              </w:rPr>
            </w:pPr>
            <w:r>
              <w:rPr>
                <w:rFonts w:ascii="Times New Roman" w:hAnsi="Times New Roman" w:cs="Times New Roman"/>
                <w:sz w:val="24"/>
                <w:szCs w:val="24"/>
              </w:rPr>
              <w:t>Presentation</w:t>
            </w:r>
          </w:p>
        </w:tc>
      </w:tr>
      <w:tr w:rsidR="008D6085" w:rsidTr="00561FA5">
        <w:tc>
          <w:tcPr>
            <w:tcW w:w="1288" w:type="dxa"/>
          </w:tcPr>
          <w:p w:rsidR="008D6085" w:rsidRDefault="008D6085" w:rsidP="00E205BC">
            <w:pPr>
              <w:spacing w:line="360" w:lineRule="auto"/>
              <w:rPr>
                <w:rFonts w:ascii="Times New Roman" w:hAnsi="Times New Roman" w:cs="Times New Roman"/>
                <w:sz w:val="24"/>
                <w:szCs w:val="24"/>
              </w:rPr>
            </w:pPr>
            <w:r>
              <w:rPr>
                <w:rFonts w:ascii="Times New Roman" w:hAnsi="Times New Roman" w:cs="Times New Roman"/>
                <w:sz w:val="24"/>
                <w:szCs w:val="24"/>
              </w:rPr>
              <w:t>5.00 pm</w:t>
            </w:r>
          </w:p>
        </w:tc>
        <w:tc>
          <w:tcPr>
            <w:tcW w:w="7728" w:type="dxa"/>
            <w:gridSpan w:val="3"/>
          </w:tcPr>
          <w:p w:rsidR="008D6085" w:rsidRDefault="008D6085" w:rsidP="00E205BC">
            <w:pPr>
              <w:spacing w:line="360" w:lineRule="auto"/>
              <w:rPr>
                <w:rFonts w:ascii="Times New Roman" w:hAnsi="Times New Roman" w:cs="Times New Roman"/>
                <w:sz w:val="24"/>
                <w:szCs w:val="24"/>
              </w:rPr>
            </w:pPr>
            <w:r>
              <w:rPr>
                <w:rFonts w:ascii="Times New Roman" w:hAnsi="Times New Roman" w:cs="Times New Roman"/>
                <w:sz w:val="24"/>
                <w:szCs w:val="24"/>
              </w:rPr>
              <w:t>End</w:t>
            </w:r>
          </w:p>
        </w:tc>
      </w:tr>
    </w:tbl>
    <w:p w:rsidR="00261208" w:rsidRDefault="00261208">
      <w:r>
        <w:br w:type="page"/>
      </w:r>
    </w:p>
    <w:p w:rsidR="00261208" w:rsidRPr="003A2897" w:rsidRDefault="003A2897" w:rsidP="003A2897">
      <w:pPr>
        <w:pStyle w:val="Heading2"/>
        <w:rPr>
          <w:rFonts w:asciiTheme="minorHAnsi" w:hAnsiTheme="minorHAnsi"/>
          <w:color w:val="FFFFFF" w:themeColor="background1"/>
          <w:sz w:val="22"/>
          <w:szCs w:val="22"/>
        </w:rPr>
      </w:pPr>
      <w:bookmarkStart w:id="17" w:name="_Toc119880508"/>
      <w:r w:rsidRPr="003A2897">
        <w:rPr>
          <w:rFonts w:asciiTheme="minorHAnsi" w:hAnsiTheme="minorHAnsi"/>
          <w:color w:val="FFFFFF" w:themeColor="background1"/>
          <w:sz w:val="22"/>
          <w:szCs w:val="22"/>
        </w:rPr>
        <w:lastRenderedPageBreak/>
        <w:t>Annex 2. Modules in the Online User Training Modules according to healthcare worker designation</w:t>
      </w:r>
      <w:bookmarkEnd w:id="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7461"/>
      </w:tblGrid>
      <w:tr w:rsidR="00261208" w:rsidTr="00972E37">
        <w:tc>
          <w:tcPr>
            <w:tcW w:w="1418" w:type="dxa"/>
          </w:tcPr>
          <w:p w:rsidR="00261208" w:rsidRDefault="00261208" w:rsidP="00BC2F8C">
            <w:pPr>
              <w:spacing w:line="360" w:lineRule="auto"/>
              <w:jc w:val="both"/>
              <w:rPr>
                <w:rFonts w:ascii="Times New Roman" w:hAnsi="Times New Roman" w:cs="Times New Roman"/>
                <w:sz w:val="24"/>
                <w:szCs w:val="24"/>
              </w:rPr>
            </w:pPr>
            <w:r>
              <w:rPr>
                <w:rFonts w:ascii="Times New Roman" w:hAnsi="Times New Roman" w:cs="Times New Roman"/>
                <w:sz w:val="24"/>
                <w:szCs w:val="24"/>
              </w:rPr>
              <w:t>Annex 2.</w:t>
            </w:r>
          </w:p>
        </w:tc>
        <w:tc>
          <w:tcPr>
            <w:tcW w:w="7461" w:type="dxa"/>
          </w:tcPr>
          <w:p w:rsidR="00261208" w:rsidRDefault="00261208" w:rsidP="00BC2F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Modules in the Online </w:t>
            </w:r>
            <w:r w:rsidRPr="004953D2">
              <w:rPr>
                <w:rFonts w:ascii="Times New Roman" w:hAnsi="Times New Roman" w:cs="Times New Roman"/>
                <w:sz w:val="24"/>
                <w:szCs w:val="24"/>
              </w:rPr>
              <w:t>User Training Modules</w:t>
            </w:r>
            <w:r>
              <w:rPr>
                <w:rFonts w:ascii="Times New Roman" w:hAnsi="Times New Roman" w:cs="Times New Roman"/>
                <w:sz w:val="24"/>
                <w:szCs w:val="24"/>
              </w:rPr>
              <w:t xml:space="preserve"> according to healthcare worker designation</w:t>
            </w:r>
          </w:p>
        </w:tc>
      </w:tr>
    </w:tbl>
    <w:p w:rsidR="00261208" w:rsidRDefault="00261208"/>
    <w:tbl>
      <w:tblPr>
        <w:tblStyle w:val="TableGrid"/>
        <w:tblW w:w="0" w:type="auto"/>
        <w:tblInd w:w="722" w:type="dxa"/>
        <w:tblLook w:val="04A0" w:firstRow="1" w:lastRow="0" w:firstColumn="1" w:lastColumn="0" w:noHBand="0" w:noVBand="1"/>
      </w:tblPr>
      <w:tblGrid>
        <w:gridCol w:w="7214"/>
      </w:tblGrid>
      <w:tr w:rsidR="00795D0B" w:rsidRPr="004953D2" w:rsidTr="00261208">
        <w:tc>
          <w:tcPr>
            <w:tcW w:w="7214" w:type="dxa"/>
            <w:shd w:val="pct10" w:color="auto" w:fill="auto"/>
          </w:tcPr>
          <w:p w:rsidR="00795D0B" w:rsidRPr="004953D2" w:rsidRDefault="00795D0B" w:rsidP="00905355">
            <w:pPr>
              <w:spacing w:line="360" w:lineRule="auto"/>
              <w:jc w:val="both"/>
              <w:rPr>
                <w:rFonts w:ascii="Times New Roman" w:hAnsi="Times New Roman" w:cs="Times New Roman"/>
                <w:b/>
                <w:sz w:val="24"/>
                <w:szCs w:val="24"/>
              </w:rPr>
            </w:pPr>
            <w:r w:rsidRPr="004953D2">
              <w:rPr>
                <w:rFonts w:ascii="Times New Roman" w:hAnsi="Times New Roman" w:cs="Times New Roman"/>
                <w:b/>
                <w:sz w:val="24"/>
                <w:szCs w:val="24"/>
              </w:rPr>
              <w:t>Outpatient</w:t>
            </w:r>
          </w:p>
        </w:tc>
      </w:tr>
      <w:tr w:rsidR="00795D0B" w:rsidRPr="0048490D" w:rsidTr="00261208">
        <w:tc>
          <w:tcPr>
            <w:tcW w:w="7214" w:type="dxa"/>
            <w:tcBorders>
              <w:bottom w:val="single" w:sz="4" w:space="0" w:color="auto"/>
            </w:tcBorders>
          </w:tcPr>
          <w:p w:rsidR="00795D0B" w:rsidRPr="0048490D" w:rsidRDefault="00795D0B" w:rsidP="00905355">
            <w:pPr>
              <w:pStyle w:val="ListParagraph"/>
              <w:numPr>
                <w:ilvl w:val="0"/>
                <w:numId w:val="8"/>
              </w:numPr>
              <w:spacing w:line="360" w:lineRule="auto"/>
              <w:jc w:val="both"/>
              <w:rPr>
                <w:rFonts w:ascii="Times New Roman" w:hAnsi="Times New Roman" w:cs="Times New Roman"/>
                <w:sz w:val="24"/>
                <w:szCs w:val="24"/>
              </w:rPr>
            </w:pPr>
            <w:r w:rsidRPr="0048490D">
              <w:rPr>
                <w:rFonts w:ascii="Times New Roman" w:hAnsi="Times New Roman" w:cs="Times New Roman"/>
                <w:sz w:val="24"/>
                <w:szCs w:val="24"/>
              </w:rPr>
              <w:t>Registration clerk</w:t>
            </w:r>
          </w:p>
          <w:p w:rsidR="00795D0B" w:rsidRPr="0048490D" w:rsidRDefault="00795D0B" w:rsidP="00905355">
            <w:pPr>
              <w:pStyle w:val="ListParagraph"/>
              <w:numPr>
                <w:ilvl w:val="0"/>
                <w:numId w:val="8"/>
              </w:numPr>
              <w:spacing w:line="360" w:lineRule="auto"/>
              <w:jc w:val="both"/>
              <w:rPr>
                <w:rFonts w:ascii="Times New Roman" w:hAnsi="Times New Roman" w:cs="Times New Roman"/>
                <w:sz w:val="24"/>
                <w:szCs w:val="24"/>
              </w:rPr>
            </w:pPr>
            <w:r w:rsidRPr="0048490D">
              <w:rPr>
                <w:rFonts w:ascii="Times New Roman" w:hAnsi="Times New Roman" w:cs="Times New Roman"/>
                <w:sz w:val="24"/>
                <w:szCs w:val="24"/>
              </w:rPr>
              <w:t>Nurse</w:t>
            </w:r>
          </w:p>
          <w:p w:rsidR="00795D0B" w:rsidRPr="0048490D" w:rsidRDefault="00795D0B" w:rsidP="00905355">
            <w:pPr>
              <w:pStyle w:val="ListParagraph"/>
              <w:numPr>
                <w:ilvl w:val="0"/>
                <w:numId w:val="8"/>
              </w:numPr>
              <w:spacing w:line="360" w:lineRule="auto"/>
              <w:jc w:val="both"/>
              <w:rPr>
                <w:rFonts w:ascii="Times New Roman" w:hAnsi="Times New Roman" w:cs="Times New Roman"/>
                <w:sz w:val="24"/>
                <w:szCs w:val="24"/>
              </w:rPr>
            </w:pPr>
            <w:r w:rsidRPr="0048490D">
              <w:rPr>
                <w:rFonts w:ascii="Times New Roman" w:hAnsi="Times New Roman" w:cs="Times New Roman"/>
                <w:sz w:val="24"/>
                <w:szCs w:val="24"/>
              </w:rPr>
              <w:t>Medical Assistant</w:t>
            </w:r>
          </w:p>
          <w:p w:rsidR="00795D0B" w:rsidRPr="0048490D" w:rsidRDefault="00795D0B" w:rsidP="00905355">
            <w:pPr>
              <w:pStyle w:val="ListParagraph"/>
              <w:numPr>
                <w:ilvl w:val="0"/>
                <w:numId w:val="8"/>
              </w:numPr>
              <w:spacing w:line="360" w:lineRule="auto"/>
              <w:jc w:val="both"/>
              <w:rPr>
                <w:rFonts w:ascii="Times New Roman" w:hAnsi="Times New Roman" w:cs="Times New Roman"/>
                <w:sz w:val="24"/>
                <w:szCs w:val="24"/>
              </w:rPr>
            </w:pPr>
            <w:r w:rsidRPr="0048490D">
              <w:rPr>
                <w:rFonts w:ascii="Times New Roman" w:hAnsi="Times New Roman" w:cs="Times New Roman"/>
                <w:sz w:val="24"/>
                <w:szCs w:val="24"/>
              </w:rPr>
              <w:t>Medical Attendant</w:t>
            </w:r>
          </w:p>
          <w:p w:rsidR="00795D0B" w:rsidRDefault="00795D0B" w:rsidP="00905355">
            <w:pPr>
              <w:pStyle w:val="ListParagraph"/>
              <w:numPr>
                <w:ilvl w:val="0"/>
                <w:numId w:val="8"/>
              </w:numPr>
              <w:spacing w:line="360" w:lineRule="auto"/>
              <w:jc w:val="both"/>
              <w:rPr>
                <w:rFonts w:ascii="Times New Roman" w:hAnsi="Times New Roman" w:cs="Times New Roman"/>
                <w:sz w:val="24"/>
                <w:szCs w:val="24"/>
              </w:rPr>
            </w:pPr>
            <w:r w:rsidRPr="0048490D">
              <w:rPr>
                <w:rFonts w:ascii="Times New Roman" w:hAnsi="Times New Roman" w:cs="Times New Roman"/>
                <w:sz w:val="24"/>
                <w:szCs w:val="24"/>
              </w:rPr>
              <w:t>Medical Laboratory Technician</w:t>
            </w:r>
          </w:p>
          <w:p w:rsidR="00795D0B" w:rsidRDefault="00795D0B" w:rsidP="0090535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Radiographer</w:t>
            </w:r>
          </w:p>
          <w:p w:rsidR="00795D0B" w:rsidRDefault="00795D0B" w:rsidP="0090535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Pharmacist</w:t>
            </w:r>
          </w:p>
          <w:p w:rsidR="00795D0B" w:rsidRPr="0048490D" w:rsidRDefault="00795D0B" w:rsidP="0090535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Doctor</w:t>
            </w:r>
          </w:p>
          <w:p w:rsidR="00795D0B" w:rsidRPr="0048490D" w:rsidRDefault="00795D0B" w:rsidP="00905355">
            <w:pPr>
              <w:pStyle w:val="ListParagraph"/>
              <w:numPr>
                <w:ilvl w:val="0"/>
                <w:numId w:val="8"/>
              </w:numPr>
              <w:spacing w:line="360" w:lineRule="auto"/>
              <w:jc w:val="both"/>
              <w:rPr>
                <w:rFonts w:ascii="Times New Roman" w:hAnsi="Times New Roman" w:cs="Times New Roman"/>
                <w:sz w:val="24"/>
                <w:szCs w:val="24"/>
              </w:rPr>
            </w:pPr>
            <w:r w:rsidRPr="0048490D">
              <w:rPr>
                <w:rFonts w:ascii="Times New Roman" w:hAnsi="Times New Roman" w:cs="Times New Roman"/>
                <w:sz w:val="24"/>
                <w:szCs w:val="24"/>
              </w:rPr>
              <w:t>Family Medicine Specialist</w:t>
            </w:r>
          </w:p>
          <w:p w:rsidR="00795D0B" w:rsidRPr="0048490D" w:rsidRDefault="00795D0B" w:rsidP="00905355">
            <w:pPr>
              <w:pStyle w:val="ListParagraph"/>
              <w:numPr>
                <w:ilvl w:val="0"/>
                <w:numId w:val="8"/>
              </w:numPr>
              <w:spacing w:line="360" w:lineRule="auto"/>
              <w:jc w:val="both"/>
              <w:rPr>
                <w:rFonts w:ascii="Times New Roman" w:hAnsi="Times New Roman" w:cs="Times New Roman"/>
                <w:sz w:val="24"/>
                <w:szCs w:val="24"/>
              </w:rPr>
            </w:pPr>
            <w:r w:rsidRPr="0048490D">
              <w:rPr>
                <w:rFonts w:ascii="Times New Roman" w:hAnsi="Times New Roman" w:cs="Times New Roman"/>
                <w:sz w:val="24"/>
                <w:szCs w:val="24"/>
              </w:rPr>
              <w:t>Clinic Administrator</w:t>
            </w:r>
          </w:p>
        </w:tc>
      </w:tr>
      <w:tr w:rsidR="00795D0B" w:rsidRPr="004953D2" w:rsidTr="00261208">
        <w:tc>
          <w:tcPr>
            <w:tcW w:w="7214" w:type="dxa"/>
            <w:shd w:val="pct10" w:color="auto" w:fill="auto"/>
          </w:tcPr>
          <w:p w:rsidR="00795D0B" w:rsidRPr="004953D2" w:rsidRDefault="00795D0B" w:rsidP="00905355">
            <w:pPr>
              <w:spacing w:line="360" w:lineRule="auto"/>
              <w:jc w:val="both"/>
              <w:rPr>
                <w:rFonts w:ascii="Times New Roman" w:hAnsi="Times New Roman" w:cs="Times New Roman"/>
                <w:b/>
                <w:sz w:val="24"/>
                <w:szCs w:val="24"/>
              </w:rPr>
            </w:pPr>
            <w:r w:rsidRPr="004953D2">
              <w:rPr>
                <w:rFonts w:ascii="Times New Roman" w:hAnsi="Times New Roman" w:cs="Times New Roman"/>
                <w:b/>
                <w:sz w:val="24"/>
                <w:szCs w:val="24"/>
              </w:rPr>
              <w:t>Maternal and Child Health</w:t>
            </w:r>
          </w:p>
        </w:tc>
      </w:tr>
      <w:tr w:rsidR="00795D0B" w:rsidRPr="0048490D" w:rsidTr="00261208">
        <w:tc>
          <w:tcPr>
            <w:tcW w:w="7214" w:type="dxa"/>
            <w:tcBorders>
              <w:bottom w:val="single" w:sz="4" w:space="0" w:color="auto"/>
            </w:tcBorders>
          </w:tcPr>
          <w:p w:rsidR="00795D0B" w:rsidRDefault="00795D0B" w:rsidP="00905355">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Registration clerk</w:t>
            </w:r>
          </w:p>
          <w:p w:rsidR="00795D0B" w:rsidRPr="0048490D" w:rsidRDefault="00795D0B" w:rsidP="00905355">
            <w:pPr>
              <w:pStyle w:val="ListParagraph"/>
              <w:numPr>
                <w:ilvl w:val="0"/>
                <w:numId w:val="9"/>
              </w:numPr>
              <w:spacing w:line="360" w:lineRule="auto"/>
              <w:jc w:val="both"/>
              <w:rPr>
                <w:rFonts w:ascii="Times New Roman" w:hAnsi="Times New Roman" w:cs="Times New Roman"/>
                <w:sz w:val="24"/>
                <w:szCs w:val="24"/>
              </w:rPr>
            </w:pPr>
            <w:r w:rsidRPr="0048490D">
              <w:rPr>
                <w:rFonts w:ascii="Times New Roman" w:hAnsi="Times New Roman" w:cs="Times New Roman"/>
                <w:sz w:val="24"/>
                <w:szCs w:val="24"/>
              </w:rPr>
              <w:t>Nurse</w:t>
            </w:r>
          </w:p>
          <w:p w:rsidR="00795D0B" w:rsidRPr="0048490D" w:rsidRDefault="00795D0B" w:rsidP="00905355">
            <w:pPr>
              <w:pStyle w:val="ListParagraph"/>
              <w:numPr>
                <w:ilvl w:val="0"/>
                <w:numId w:val="9"/>
              </w:numPr>
              <w:spacing w:line="360" w:lineRule="auto"/>
              <w:jc w:val="both"/>
              <w:rPr>
                <w:rFonts w:ascii="Times New Roman" w:hAnsi="Times New Roman" w:cs="Times New Roman"/>
                <w:sz w:val="24"/>
                <w:szCs w:val="24"/>
              </w:rPr>
            </w:pPr>
            <w:r w:rsidRPr="0048490D">
              <w:rPr>
                <w:rFonts w:ascii="Times New Roman" w:hAnsi="Times New Roman" w:cs="Times New Roman"/>
                <w:sz w:val="24"/>
                <w:szCs w:val="24"/>
              </w:rPr>
              <w:t>Medical Attendant</w:t>
            </w:r>
          </w:p>
          <w:p w:rsidR="00795D0B" w:rsidRPr="0048490D" w:rsidRDefault="00795D0B" w:rsidP="00905355">
            <w:pPr>
              <w:pStyle w:val="ListParagraph"/>
              <w:numPr>
                <w:ilvl w:val="0"/>
                <w:numId w:val="9"/>
              </w:numPr>
              <w:spacing w:line="360" w:lineRule="auto"/>
              <w:jc w:val="both"/>
              <w:rPr>
                <w:rFonts w:ascii="Times New Roman" w:hAnsi="Times New Roman" w:cs="Times New Roman"/>
                <w:sz w:val="24"/>
                <w:szCs w:val="24"/>
              </w:rPr>
            </w:pPr>
            <w:r w:rsidRPr="0048490D">
              <w:rPr>
                <w:rFonts w:ascii="Times New Roman" w:hAnsi="Times New Roman" w:cs="Times New Roman"/>
                <w:sz w:val="24"/>
                <w:szCs w:val="24"/>
              </w:rPr>
              <w:t>Doctor</w:t>
            </w:r>
          </w:p>
        </w:tc>
      </w:tr>
      <w:tr w:rsidR="00795D0B" w:rsidRPr="004953D2" w:rsidTr="00261208">
        <w:tc>
          <w:tcPr>
            <w:tcW w:w="7214" w:type="dxa"/>
            <w:shd w:val="pct10" w:color="auto" w:fill="auto"/>
          </w:tcPr>
          <w:p w:rsidR="00795D0B" w:rsidRPr="004953D2" w:rsidRDefault="00795D0B" w:rsidP="00905355">
            <w:pPr>
              <w:spacing w:line="360" w:lineRule="auto"/>
              <w:jc w:val="both"/>
              <w:rPr>
                <w:rFonts w:ascii="Times New Roman" w:hAnsi="Times New Roman" w:cs="Times New Roman"/>
                <w:b/>
                <w:sz w:val="24"/>
                <w:szCs w:val="24"/>
              </w:rPr>
            </w:pPr>
            <w:r w:rsidRPr="004953D2">
              <w:rPr>
                <w:rFonts w:ascii="Times New Roman" w:hAnsi="Times New Roman" w:cs="Times New Roman"/>
                <w:b/>
                <w:sz w:val="24"/>
                <w:szCs w:val="24"/>
              </w:rPr>
              <w:t>Allied Health</w:t>
            </w:r>
          </w:p>
        </w:tc>
      </w:tr>
      <w:tr w:rsidR="00795D0B" w:rsidRPr="0048490D" w:rsidTr="00261208">
        <w:tc>
          <w:tcPr>
            <w:tcW w:w="7214" w:type="dxa"/>
          </w:tcPr>
          <w:p w:rsidR="00795D0B" w:rsidRPr="0048490D" w:rsidRDefault="00795D0B" w:rsidP="00905355">
            <w:pPr>
              <w:pStyle w:val="ListParagraph"/>
              <w:numPr>
                <w:ilvl w:val="0"/>
                <w:numId w:val="10"/>
              </w:numPr>
              <w:spacing w:line="360" w:lineRule="auto"/>
              <w:jc w:val="both"/>
              <w:rPr>
                <w:rFonts w:ascii="Times New Roman" w:hAnsi="Times New Roman" w:cs="Times New Roman"/>
                <w:sz w:val="24"/>
                <w:szCs w:val="24"/>
              </w:rPr>
            </w:pPr>
            <w:r w:rsidRPr="0048490D">
              <w:rPr>
                <w:rFonts w:ascii="Times New Roman" w:hAnsi="Times New Roman" w:cs="Times New Roman"/>
                <w:sz w:val="24"/>
                <w:szCs w:val="24"/>
              </w:rPr>
              <w:t>Dietician</w:t>
            </w:r>
          </w:p>
          <w:p w:rsidR="00795D0B" w:rsidRPr="0048490D" w:rsidRDefault="00795D0B" w:rsidP="00905355">
            <w:pPr>
              <w:pStyle w:val="ListParagraph"/>
              <w:numPr>
                <w:ilvl w:val="0"/>
                <w:numId w:val="10"/>
              </w:numPr>
              <w:spacing w:line="360" w:lineRule="auto"/>
              <w:jc w:val="both"/>
              <w:rPr>
                <w:rFonts w:ascii="Times New Roman" w:hAnsi="Times New Roman" w:cs="Times New Roman"/>
                <w:sz w:val="24"/>
                <w:szCs w:val="24"/>
              </w:rPr>
            </w:pPr>
            <w:r w:rsidRPr="0048490D">
              <w:rPr>
                <w:rFonts w:ascii="Times New Roman" w:hAnsi="Times New Roman" w:cs="Times New Roman"/>
                <w:sz w:val="24"/>
                <w:szCs w:val="24"/>
              </w:rPr>
              <w:t>Food Science Officer</w:t>
            </w:r>
          </w:p>
          <w:p w:rsidR="00795D0B" w:rsidRPr="0048490D" w:rsidRDefault="00795D0B" w:rsidP="00905355">
            <w:pPr>
              <w:pStyle w:val="ListParagraph"/>
              <w:numPr>
                <w:ilvl w:val="0"/>
                <w:numId w:val="10"/>
              </w:numPr>
              <w:spacing w:line="360" w:lineRule="auto"/>
              <w:jc w:val="both"/>
              <w:rPr>
                <w:rFonts w:ascii="Times New Roman" w:hAnsi="Times New Roman" w:cs="Times New Roman"/>
                <w:sz w:val="24"/>
                <w:szCs w:val="24"/>
              </w:rPr>
            </w:pPr>
            <w:r w:rsidRPr="0048490D">
              <w:rPr>
                <w:rFonts w:ascii="Times New Roman" w:hAnsi="Times New Roman" w:cs="Times New Roman"/>
                <w:sz w:val="24"/>
                <w:szCs w:val="24"/>
              </w:rPr>
              <w:t>Physiotherapist</w:t>
            </w:r>
          </w:p>
          <w:p w:rsidR="00795D0B" w:rsidRPr="0048490D" w:rsidRDefault="00795D0B" w:rsidP="00905355">
            <w:pPr>
              <w:pStyle w:val="ListParagraph"/>
              <w:numPr>
                <w:ilvl w:val="0"/>
                <w:numId w:val="10"/>
              </w:numPr>
              <w:spacing w:line="360" w:lineRule="auto"/>
              <w:jc w:val="both"/>
              <w:rPr>
                <w:rFonts w:ascii="Times New Roman" w:hAnsi="Times New Roman" w:cs="Times New Roman"/>
                <w:sz w:val="24"/>
                <w:szCs w:val="24"/>
              </w:rPr>
            </w:pPr>
            <w:r w:rsidRPr="0048490D">
              <w:rPr>
                <w:rFonts w:ascii="Times New Roman" w:hAnsi="Times New Roman" w:cs="Times New Roman"/>
                <w:sz w:val="24"/>
                <w:szCs w:val="24"/>
              </w:rPr>
              <w:t>Occupational Therapist</w:t>
            </w:r>
          </w:p>
          <w:p w:rsidR="00795D0B" w:rsidRDefault="00795D0B" w:rsidP="00905355">
            <w:pPr>
              <w:pStyle w:val="ListParagraph"/>
              <w:numPr>
                <w:ilvl w:val="0"/>
                <w:numId w:val="10"/>
              </w:numPr>
              <w:spacing w:line="360" w:lineRule="auto"/>
              <w:jc w:val="both"/>
              <w:rPr>
                <w:rFonts w:ascii="Times New Roman" w:hAnsi="Times New Roman" w:cs="Times New Roman"/>
                <w:sz w:val="24"/>
                <w:szCs w:val="24"/>
              </w:rPr>
            </w:pPr>
            <w:r w:rsidRPr="0048490D">
              <w:rPr>
                <w:rFonts w:ascii="Times New Roman" w:hAnsi="Times New Roman" w:cs="Times New Roman"/>
                <w:sz w:val="24"/>
                <w:szCs w:val="24"/>
              </w:rPr>
              <w:t>Medical Social Worker</w:t>
            </w:r>
          </w:p>
          <w:p w:rsidR="00795D0B" w:rsidRDefault="00795D0B" w:rsidP="00905355">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Counsellors</w:t>
            </w:r>
          </w:p>
          <w:p w:rsidR="00795D0B" w:rsidRPr="0048490D" w:rsidRDefault="00795D0B" w:rsidP="00905355">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Optometrist</w:t>
            </w:r>
          </w:p>
        </w:tc>
      </w:tr>
    </w:tbl>
    <w:p w:rsidR="00795D0B" w:rsidRDefault="00795D0B" w:rsidP="0089421F">
      <w:pPr>
        <w:rPr>
          <w:rFonts w:ascii="Times New Roman" w:hAnsi="Times New Roman" w:cs="Times New Roman"/>
          <w:color w:val="000000" w:themeColor="text1"/>
          <w:sz w:val="24"/>
          <w:szCs w:val="24"/>
        </w:rPr>
      </w:pPr>
    </w:p>
    <w:p w:rsidR="00561FA5" w:rsidRDefault="00561FA5" w:rsidP="0089421F">
      <w:pPr>
        <w:rPr>
          <w:rFonts w:ascii="Times New Roman" w:hAnsi="Times New Roman" w:cs="Times New Roman"/>
          <w:color w:val="000000" w:themeColor="text1"/>
          <w:sz w:val="24"/>
          <w:szCs w:val="24"/>
        </w:rPr>
      </w:pPr>
    </w:p>
    <w:p w:rsidR="00561FA5" w:rsidRPr="000A2104" w:rsidRDefault="00561FA5" w:rsidP="0089421F">
      <w:pPr>
        <w:rPr>
          <w:rFonts w:ascii="Times New Roman" w:hAnsi="Times New Roman" w:cs="Times New Roman"/>
          <w:color w:val="000000" w:themeColor="text1"/>
          <w:sz w:val="24"/>
          <w:szCs w:val="24"/>
        </w:rPr>
      </w:pPr>
    </w:p>
    <w:sectPr w:rsidR="00561FA5" w:rsidRPr="000A2104" w:rsidSect="002F19F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229A" w:rsidRDefault="00B0229A" w:rsidP="00573E1C">
      <w:pPr>
        <w:spacing w:after="0" w:line="240" w:lineRule="auto"/>
      </w:pPr>
      <w:r>
        <w:separator/>
      </w:r>
    </w:p>
  </w:endnote>
  <w:endnote w:type="continuationSeparator" w:id="0">
    <w:p w:rsidR="00B0229A" w:rsidRDefault="00B0229A" w:rsidP="00573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520549218"/>
      <w:docPartObj>
        <w:docPartGallery w:val="Page Numbers (Bottom of Page)"/>
        <w:docPartUnique/>
      </w:docPartObj>
    </w:sdtPr>
    <w:sdtEndPr>
      <w:rPr>
        <w:noProof/>
      </w:rPr>
    </w:sdtEndPr>
    <w:sdtContent>
      <w:p w:rsidR="00BC2F8C" w:rsidRPr="000A2104" w:rsidRDefault="00BC2F8C">
        <w:pPr>
          <w:pStyle w:val="Footer"/>
          <w:jc w:val="right"/>
          <w:rPr>
            <w:rFonts w:ascii="Times New Roman" w:hAnsi="Times New Roman" w:cs="Times New Roman"/>
          </w:rPr>
        </w:pPr>
        <w:r w:rsidRPr="000A2104">
          <w:rPr>
            <w:rFonts w:ascii="Times New Roman" w:hAnsi="Times New Roman" w:cs="Times New Roman"/>
          </w:rPr>
          <w:fldChar w:fldCharType="begin"/>
        </w:r>
        <w:r w:rsidRPr="000A2104">
          <w:rPr>
            <w:rFonts w:ascii="Times New Roman" w:hAnsi="Times New Roman" w:cs="Times New Roman"/>
          </w:rPr>
          <w:instrText xml:space="preserve"> PAGE   \* MERGEFORMAT </w:instrText>
        </w:r>
        <w:r w:rsidRPr="000A2104">
          <w:rPr>
            <w:rFonts w:ascii="Times New Roman" w:hAnsi="Times New Roman" w:cs="Times New Roman"/>
          </w:rPr>
          <w:fldChar w:fldCharType="separate"/>
        </w:r>
        <w:r w:rsidR="00DA038F">
          <w:rPr>
            <w:rFonts w:ascii="Times New Roman" w:hAnsi="Times New Roman" w:cs="Times New Roman"/>
            <w:noProof/>
          </w:rPr>
          <w:t>17</w:t>
        </w:r>
        <w:r w:rsidRPr="000A2104">
          <w:rPr>
            <w:rFonts w:ascii="Times New Roman" w:hAnsi="Times New Roman" w:cs="Times New Roman"/>
            <w:noProof/>
          </w:rPr>
          <w:fldChar w:fldCharType="end"/>
        </w:r>
      </w:p>
    </w:sdtContent>
  </w:sdt>
  <w:p w:rsidR="00BC2F8C" w:rsidRDefault="00BC2F8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8853552"/>
      <w:docPartObj>
        <w:docPartGallery w:val="Page Numbers (Bottom of Page)"/>
        <w:docPartUnique/>
      </w:docPartObj>
    </w:sdtPr>
    <w:sdtEndPr>
      <w:rPr>
        <w:rFonts w:ascii="Times New Roman" w:hAnsi="Times New Roman" w:cs="Times New Roman"/>
        <w:noProof/>
      </w:rPr>
    </w:sdtEndPr>
    <w:sdtContent>
      <w:p w:rsidR="00BC2F8C" w:rsidRPr="000A2104" w:rsidRDefault="00BC2F8C">
        <w:pPr>
          <w:pStyle w:val="Footer"/>
          <w:jc w:val="right"/>
          <w:rPr>
            <w:rFonts w:ascii="Times New Roman" w:hAnsi="Times New Roman" w:cs="Times New Roman"/>
          </w:rPr>
        </w:pPr>
        <w:r w:rsidRPr="000A2104">
          <w:rPr>
            <w:rFonts w:ascii="Times New Roman" w:hAnsi="Times New Roman" w:cs="Times New Roman"/>
          </w:rPr>
          <w:fldChar w:fldCharType="begin"/>
        </w:r>
        <w:r w:rsidRPr="000A2104">
          <w:rPr>
            <w:rFonts w:ascii="Times New Roman" w:hAnsi="Times New Roman" w:cs="Times New Roman"/>
          </w:rPr>
          <w:instrText xml:space="preserve"> PAGE   \* MERGEFORMAT </w:instrText>
        </w:r>
        <w:r w:rsidRPr="000A2104">
          <w:rPr>
            <w:rFonts w:ascii="Times New Roman" w:hAnsi="Times New Roman" w:cs="Times New Roman"/>
          </w:rPr>
          <w:fldChar w:fldCharType="separate"/>
        </w:r>
        <w:r w:rsidR="002D6C5D">
          <w:rPr>
            <w:rFonts w:ascii="Times New Roman" w:hAnsi="Times New Roman" w:cs="Times New Roman"/>
            <w:noProof/>
          </w:rPr>
          <w:t>12</w:t>
        </w:r>
        <w:r w:rsidRPr="000A2104">
          <w:rPr>
            <w:rFonts w:ascii="Times New Roman" w:hAnsi="Times New Roman" w:cs="Times New Roman"/>
            <w:noProof/>
          </w:rPr>
          <w:fldChar w:fldCharType="end"/>
        </w:r>
      </w:p>
    </w:sdtContent>
  </w:sdt>
  <w:p w:rsidR="00BC2F8C" w:rsidRDefault="00BC2F8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229A" w:rsidRDefault="00B0229A" w:rsidP="00573E1C">
      <w:pPr>
        <w:spacing w:after="0" w:line="240" w:lineRule="auto"/>
      </w:pPr>
      <w:r>
        <w:separator/>
      </w:r>
    </w:p>
  </w:footnote>
  <w:footnote w:type="continuationSeparator" w:id="0">
    <w:p w:rsidR="00B0229A" w:rsidRDefault="00B0229A" w:rsidP="00573E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0151"/>
    <w:multiLevelType w:val="hybridMultilevel"/>
    <w:tmpl w:val="6040EF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7D11DBB"/>
    <w:multiLevelType w:val="hybridMultilevel"/>
    <w:tmpl w:val="054A4394"/>
    <w:lvl w:ilvl="0" w:tplc="F41A1A9A">
      <w:numFmt w:val="bullet"/>
      <w:lvlText w:val="•"/>
      <w:lvlJc w:val="left"/>
      <w:pPr>
        <w:ind w:left="1080" w:hanging="72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9CA3503"/>
    <w:multiLevelType w:val="hybridMultilevel"/>
    <w:tmpl w:val="E6A87E50"/>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1BB65BCD"/>
    <w:multiLevelType w:val="hybridMultilevel"/>
    <w:tmpl w:val="2ECA4D98"/>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C1A584D"/>
    <w:multiLevelType w:val="hybridMultilevel"/>
    <w:tmpl w:val="70421D1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71E5A85"/>
    <w:multiLevelType w:val="hybridMultilevel"/>
    <w:tmpl w:val="B6ECF2DE"/>
    <w:lvl w:ilvl="0" w:tplc="44090001">
      <w:start w:val="1"/>
      <w:numFmt w:val="bullet"/>
      <w:lvlText w:val=""/>
      <w:lvlJc w:val="left"/>
      <w:pPr>
        <w:ind w:left="1080" w:hanging="360"/>
      </w:pPr>
      <w:rPr>
        <w:rFonts w:ascii="Symbol" w:hAnsi="Symbol"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15:restartNumberingAfterBreak="0">
    <w:nsid w:val="328717CA"/>
    <w:multiLevelType w:val="hybridMultilevel"/>
    <w:tmpl w:val="A67E980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35083B92"/>
    <w:multiLevelType w:val="hybridMultilevel"/>
    <w:tmpl w:val="2C9EEEE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35792D6B"/>
    <w:multiLevelType w:val="hybridMultilevel"/>
    <w:tmpl w:val="4C9ED38C"/>
    <w:lvl w:ilvl="0" w:tplc="44090001">
      <w:start w:val="1"/>
      <w:numFmt w:val="bullet"/>
      <w:lvlText w:val=""/>
      <w:lvlJc w:val="left"/>
      <w:pPr>
        <w:ind w:left="1080" w:hanging="360"/>
      </w:pPr>
      <w:rPr>
        <w:rFonts w:ascii="Symbol" w:hAnsi="Symbol"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9" w15:restartNumberingAfterBreak="0">
    <w:nsid w:val="36BB7370"/>
    <w:multiLevelType w:val="hybridMultilevel"/>
    <w:tmpl w:val="AE5EBEA2"/>
    <w:lvl w:ilvl="0" w:tplc="DDB89C82">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4734533D"/>
    <w:multiLevelType w:val="hybridMultilevel"/>
    <w:tmpl w:val="30BE74D4"/>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 w15:restartNumberingAfterBreak="0">
    <w:nsid w:val="6B0313F1"/>
    <w:multiLevelType w:val="hybridMultilevel"/>
    <w:tmpl w:val="835CF7D2"/>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2" w15:restartNumberingAfterBreak="0">
    <w:nsid w:val="7B0541FD"/>
    <w:multiLevelType w:val="hybridMultilevel"/>
    <w:tmpl w:val="C298FC66"/>
    <w:lvl w:ilvl="0" w:tplc="9864A0A0">
      <w:start w:val="1"/>
      <w:numFmt w:val="decimal"/>
      <w:lvlText w:val="%1."/>
      <w:lvlJc w:val="left"/>
      <w:pPr>
        <w:ind w:left="720" w:hanging="360"/>
      </w:pPr>
      <w:rPr>
        <w:rFonts w:hint="default"/>
        <w:color w:val="000000" w:themeColor="text1"/>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6"/>
  </w:num>
  <w:num w:numId="2">
    <w:abstractNumId w:val="1"/>
  </w:num>
  <w:num w:numId="3">
    <w:abstractNumId w:val="11"/>
  </w:num>
  <w:num w:numId="4">
    <w:abstractNumId w:val="3"/>
  </w:num>
  <w:num w:numId="5">
    <w:abstractNumId w:val="2"/>
  </w:num>
  <w:num w:numId="6">
    <w:abstractNumId w:val="9"/>
  </w:num>
  <w:num w:numId="7">
    <w:abstractNumId w:val="10"/>
  </w:num>
  <w:num w:numId="8">
    <w:abstractNumId w:val="7"/>
  </w:num>
  <w:num w:numId="9">
    <w:abstractNumId w:val="4"/>
  </w:num>
  <w:num w:numId="10">
    <w:abstractNumId w:val="0"/>
  </w:num>
  <w:num w:numId="11">
    <w:abstractNumId w:val="5"/>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322"/>
    <w:rsid w:val="00001CC2"/>
    <w:rsid w:val="000117B1"/>
    <w:rsid w:val="0001764E"/>
    <w:rsid w:val="000238BA"/>
    <w:rsid w:val="000325FD"/>
    <w:rsid w:val="00034BD1"/>
    <w:rsid w:val="00035C5C"/>
    <w:rsid w:val="000377CE"/>
    <w:rsid w:val="00045565"/>
    <w:rsid w:val="00051305"/>
    <w:rsid w:val="000608E8"/>
    <w:rsid w:val="00063961"/>
    <w:rsid w:val="0006656A"/>
    <w:rsid w:val="00067385"/>
    <w:rsid w:val="00070973"/>
    <w:rsid w:val="00071B0A"/>
    <w:rsid w:val="00072FA9"/>
    <w:rsid w:val="00075D20"/>
    <w:rsid w:val="0007618C"/>
    <w:rsid w:val="00077E18"/>
    <w:rsid w:val="000850E7"/>
    <w:rsid w:val="00093E25"/>
    <w:rsid w:val="0009430F"/>
    <w:rsid w:val="0009449F"/>
    <w:rsid w:val="00095D65"/>
    <w:rsid w:val="000972B6"/>
    <w:rsid w:val="000A2104"/>
    <w:rsid w:val="000A3EA2"/>
    <w:rsid w:val="000A465A"/>
    <w:rsid w:val="000B04D0"/>
    <w:rsid w:val="000B120E"/>
    <w:rsid w:val="000C34A7"/>
    <w:rsid w:val="000C7424"/>
    <w:rsid w:val="000D1E1F"/>
    <w:rsid w:val="000D458C"/>
    <w:rsid w:val="000D5879"/>
    <w:rsid w:val="000D7A90"/>
    <w:rsid w:val="000F6858"/>
    <w:rsid w:val="000F6B66"/>
    <w:rsid w:val="00102B88"/>
    <w:rsid w:val="00113341"/>
    <w:rsid w:val="00114F91"/>
    <w:rsid w:val="0011597C"/>
    <w:rsid w:val="00115A9A"/>
    <w:rsid w:val="00115BD0"/>
    <w:rsid w:val="001203A6"/>
    <w:rsid w:val="0012379A"/>
    <w:rsid w:val="001249C0"/>
    <w:rsid w:val="00130988"/>
    <w:rsid w:val="001313E7"/>
    <w:rsid w:val="0013365F"/>
    <w:rsid w:val="001371C0"/>
    <w:rsid w:val="001504DB"/>
    <w:rsid w:val="00157A72"/>
    <w:rsid w:val="001640FE"/>
    <w:rsid w:val="0016681E"/>
    <w:rsid w:val="00170FFB"/>
    <w:rsid w:val="00175A51"/>
    <w:rsid w:val="00186403"/>
    <w:rsid w:val="00187ED1"/>
    <w:rsid w:val="00196A91"/>
    <w:rsid w:val="001976AA"/>
    <w:rsid w:val="001978CA"/>
    <w:rsid w:val="001A0C44"/>
    <w:rsid w:val="001A139A"/>
    <w:rsid w:val="001A1FFD"/>
    <w:rsid w:val="001A4833"/>
    <w:rsid w:val="001B5411"/>
    <w:rsid w:val="001C0929"/>
    <w:rsid w:val="001C482E"/>
    <w:rsid w:val="001C6720"/>
    <w:rsid w:val="001D0744"/>
    <w:rsid w:val="001D2EDF"/>
    <w:rsid w:val="001D795E"/>
    <w:rsid w:val="001F2EF1"/>
    <w:rsid w:val="001F7E9A"/>
    <w:rsid w:val="002037E9"/>
    <w:rsid w:val="00204A9C"/>
    <w:rsid w:val="002114F4"/>
    <w:rsid w:val="002139CD"/>
    <w:rsid w:val="00216206"/>
    <w:rsid w:val="00217D60"/>
    <w:rsid w:val="002268C4"/>
    <w:rsid w:val="00226E78"/>
    <w:rsid w:val="0023223D"/>
    <w:rsid w:val="00233860"/>
    <w:rsid w:val="002346BC"/>
    <w:rsid w:val="00242F4E"/>
    <w:rsid w:val="00251FE2"/>
    <w:rsid w:val="00253C3B"/>
    <w:rsid w:val="00261208"/>
    <w:rsid w:val="002678F2"/>
    <w:rsid w:val="00267B2F"/>
    <w:rsid w:val="00280C05"/>
    <w:rsid w:val="002867F0"/>
    <w:rsid w:val="00297453"/>
    <w:rsid w:val="002A000D"/>
    <w:rsid w:val="002B1115"/>
    <w:rsid w:val="002B19EF"/>
    <w:rsid w:val="002B4BD2"/>
    <w:rsid w:val="002B7EF0"/>
    <w:rsid w:val="002C2D90"/>
    <w:rsid w:val="002D1D69"/>
    <w:rsid w:val="002D5464"/>
    <w:rsid w:val="002D6C5D"/>
    <w:rsid w:val="002E1D10"/>
    <w:rsid w:val="002E4855"/>
    <w:rsid w:val="002E4B75"/>
    <w:rsid w:val="002F19F8"/>
    <w:rsid w:val="00301238"/>
    <w:rsid w:val="003123C1"/>
    <w:rsid w:val="0031441D"/>
    <w:rsid w:val="00324087"/>
    <w:rsid w:val="00326194"/>
    <w:rsid w:val="003362F4"/>
    <w:rsid w:val="0033653B"/>
    <w:rsid w:val="003413C0"/>
    <w:rsid w:val="00347DCF"/>
    <w:rsid w:val="00353BA5"/>
    <w:rsid w:val="0035452F"/>
    <w:rsid w:val="003636A8"/>
    <w:rsid w:val="00366FE1"/>
    <w:rsid w:val="00370048"/>
    <w:rsid w:val="00382DE8"/>
    <w:rsid w:val="0038478A"/>
    <w:rsid w:val="003A2897"/>
    <w:rsid w:val="003A35D2"/>
    <w:rsid w:val="003B1F1B"/>
    <w:rsid w:val="003B2B5C"/>
    <w:rsid w:val="003B769C"/>
    <w:rsid w:val="003C00D0"/>
    <w:rsid w:val="003D288B"/>
    <w:rsid w:val="003D3414"/>
    <w:rsid w:val="003E0F8F"/>
    <w:rsid w:val="003E40B8"/>
    <w:rsid w:val="003E5D8C"/>
    <w:rsid w:val="003E6C78"/>
    <w:rsid w:val="00403665"/>
    <w:rsid w:val="00404C03"/>
    <w:rsid w:val="0041160A"/>
    <w:rsid w:val="004127D3"/>
    <w:rsid w:val="00412945"/>
    <w:rsid w:val="00420ADE"/>
    <w:rsid w:val="004215D8"/>
    <w:rsid w:val="004230E1"/>
    <w:rsid w:val="00423C48"/>
    <w:rsid w:val="00425375"/>
    <w:rsid w:val="00427441"/>
    <w:rsid w:val="004301E0"/>
    <w:rsid w:val="00442702"/>
    <w:rsid w:val="004477BD"/>
    <w:rsid w:val="0045140D"/>
    <w:rsid w:val="00453B8E"/>
    <w:rsid w:val="00454ABC"/>
    <w:rsid w:val="004559A5"/>
    <w:rsid w:val="00457060"/>
    <w:rsid w:val="004570D1"/>
    <w:rsid w:val="004619D9"/>
    <w:rsid w:val="00464154"/>
    <w:rsid w:val="00464B30"/>
    <w:rsid w:val="0046570F"/>
    <w:rsid w:val="00467347"/>
    <w:rsid w:val="00474734"/>
    <w:rsid w:val="004759DD"/>
    <w:rsid w:val="0048490D"/>
    <w:rsid w:val="00484E3E"/>
    <w:rsid w:val="004953D2"/>
    <w:rsid w:val="00496274"/>
    <w:rsid w:val="004A1F9C"/>
    <w:rsid w:val="004A29CD"/>
    <w:rsid w:val="004A38F1"/>
    <w:rsid w:val="004A3A8D"/>
    <w:rsid w:val="004B32A4"/>
    <w:rsid w:val="004C3F57"/>
    <w:rsid w:val="004C50BA"/>
    <w:rsid w:val="004C54CD"/>
    <w:rsid w:val="004C5A10"/>
    <w:rsid w:val="004D1FE9"/>
    <w:rsid w:val="004D4726"/>
    <w:rsid w:val="004D7FE3"/>
    <w:rsid w:val="004E304C"/>
    <w:rsid w:val="004E3577"/>
    <w:rsid w:val="004E5FCD"/>
    <w:rsid w:val="004F2658"/>
    <w:rsid w:val="004F52D2"/>
    <w:rsid w:val="00503052"/>
    <w:rsid w:val="00506F71"/>
    <w:rsid w:val="00507B16"/>
    <w:rsid w:val="0051433D"/>
    <w:rsid w:val="005163B5"/>
    <w:rsid w:val="0052213F"/>
    <w:rsid w:val="005236E6"/>
    <w:rsid w:val="00523C50"/>
    <w:rsid w:val="00523E83"/>
    <w:rsid w:val="00524FA3"/>
    <w:rsid w:val="005300AD"/>
    <w:rsid w:val="00532519"/>
    <w:rsid w:val="005472A7"/>
    <w:rsid w:val="00551E59"/>
    <w:rsid w:val="00561FA5"/>
    <w:rsid w:val="00573E1C"/>
    <w:rsid w:val="00574A11"/>
    <w:rsid w:val="00575A47"/>
    <w:rsid w:val="005812A9"/>
    <w:rsid w:val="005823E1"/>
    <w:rsid w:val="0058421B"/>
    <w:rsid w:val="005905A5"/>
    <w:rsid w:val="00591C0C"/>
    <w:rsid w:val="005971D7"/>
    <w:rsid w:val="005A21C3"/>
    <w:rsid w:val="005B32DC"/>
    <w:rsid w:val="005B6ED6"/>
    <w:rsid w:val="005C2353"/>
    <w:rsid w:val="005D0317"/>
    <w:rsid w:val="005D713C"/>
    <w:rsid w:val="005D7627"/>
    <w:rsid w:val="005E3E76"/>
    <w:rsid w:val="005E4322"/>
    <w:rsid w:val="006064C3"/>
    <w:rsid w:val="006072DF"/>
    <w:rsid w:val="00612CE4"/>
    <w:rsid w:val="00613270"/>
    <w:rsid w:val="00624D72"/>
    <w:rsid w:val="006272BC"/>
    <w:rsid w:val="00630D03"/>
    <w:rsid w:val="006315CA"/>
    <w:rsid w:val="00635960"/>
    <w:rsid w:val="0064612C"/>
    <w:rsid w:val="0064712F"/>
    <w:rsid w:val="00650F2E"/>
    <w:rsid w:val="00666CB2"/>
    <w:rsid w:val="00670033"/>
    <w:rsid w:val="00672C7F"/>
    <w:rsid w:val="00675BEF"/>
    <w:rsid w:val="0068669D"/>
    <w:rsid w:val="0069045A"/>
    <w:rsid w:val="006A21BC"/>
    <w:rsid w:val="006A72EC"/>
    <w:rsid w:val="006A7598"/>
    <w:rsid w:val="006B0380"/>
    <w:rsid w:val="006B2495"/>
    <w:rsid w:val="006C0DB4"/>
    <w:rsid w:val="006D1B54"/>
    <w:rsid w:val="006D4D54"/>
    <w:rsid w:val="006E1B0E"/>
    <w:rsid w:val="006E2543"/>
    <w:rsid w:val="006E792B"/>
    <w:rsid w:val="006F68EA"/>
    <w:rsid w:val="006F7FBA"/>
    <w:rsid w:val="00700579"/>
    <w:rsid w:val="007071FB"/>
    <w:rsid w:val="00707E4F"/>
    <w:rsid w:val="007114E3"/>
    <w:rsid w:val="007164BA"/>
    <w:rsid w:val="00723FF6"/>
    <w:rsid w:val="007265AA"/>
    <w:rsid w:val="00730A4E"/>
    <w:rsid w:val="00734041"/>
    <w:rsid w:val="007512AE"/>
    <w:rsid w:val="00751E83"/>
    <w:rsid w:val="00755536"/>
    <w:rsid w:val="007620C1"/>
    <w:rsid w:val="0076215B"/>
    <w:rsid w:val="007649F7"/>
    <w:rsid w:val="007851EC"/>
    <w:rsid w:val="007910FF"/>
    <w:rsid w:val="00793955"/>
    <w:rsid w:val="00795D0B"/>
    <w:rsid w:val="007973F6"/>
    <w:rsid w:val="007A2E69"/>
    <w:rsid w:val="007B7816"/>
    <w:rsid w:val="007C5E54"/>
    <w:rsid w:val="007D2E75"/>
    <w:rsid w:val="007D4F7E"/>
    <w:rsid w:val="007D5596"/>
    <w:rsid w:val="007D5D8F"/>
    <w:rsid w:val="007D6CE4"/>
    <w:rsid w:val="007D6F1E"/>
    <w:rsid w:val="007E0832"/>
    <w:rsid w:val="007E535C"/>
    <w:rsid w:val="007E6092"/>
    <w:rsid w:val="007F0C0C"/>
    <w:rsid w:val="0080077C"/>
    <w:rsid w:val="00813DD0"/>
    <w:rsid w:val="00816946"/>
    <w:rsid w:val="008255AA"/>
    <w:rsid w:val="00826E07"/>
    <w:rsid w:val="00835AB2"/>
    <w:rsid w:val="00836C89"/>
    <w:rsid w:val="008434DF"/>
    <w:rsid w:val="0084409E"/>
    <w:rsid w:val="00850E2E"/>
    <w:rsid w:val="00857082"/>
    <w:rsid w:val="00857622"/>
    <w:rsid w:val="008764CF"/>
    <w:rsid w:val="00882093"/>
    <w:rsid w:val="00882F69"/>
    <w:rsid w:val="00884592"/>
    <w:rsid w:val="00892381"/>
    <w:rsid w:val="00893977"/>
    <w:rsid w:val="0089421F"/>
    <w:rsid w:val="008A2F54"/>
    <w:rsid w:val="008B0BE1"/>
    <w:rsid w:val="008B5828"/>
    <w:rsid w:val="008C6AA9"/>
    <w:rsid w:val="008D0790"/>
    <w:rsid w:val="008D161E"/>
    <w:rsid w:val="008D4EE0"/>
    <w:rsid w:val="008D6043"/>
    <w:rsid w:val="008D6085"/>
    <w:rsid w:val="008D791F"/>
    <w:rsid w:val="008E0689"/>
    <w:rsid w:val="008E1014"/>
    <w:rsid w:val="008E6103"/>
    <w:rsid w:val="008E62CF"/>
    <w:rsid w:val="008F1A3A"/>
    <w:rsid w:val="008F3FD3"/>
    <w:rsid w:val="008F4420"/>
    <w:rsid w:val="0090113F"/>
    <w:rsid w:val="00903C56"/>
    <w:rsid w:val="00905355"/>
    <w:rsid w:val="009240FF"/>
    <w:rsid w:val="00924573"/>
    <w:rsid w:val="0092485D"/>
    <w:rsid w:val="00924D22"/>
    <w:rsid w:val="0092699A"/>
    <w:rsid w:val="009316DE"/>
    <w:rsid w:val="00932D28"/>
    <w:rsid w:val="0094011F"/>
    <w:rsid w:val="0094490C"/>
    <w:rsid w:val="00944B38"/>
    <w:rsid w:val="0094709C"/>
    <w:rsid w:val="00952822"/>
    <w:rsid w:val="00954319"/>
    <w:rsid w:val="009606DD"/>
    <w:rsid w:val="00960FCA"/>
    <w:rsid w:val="00971036"/>
    <w:rsid w:val="009727EB"/>
    <w:rsid w:val="00972E37"/>
    <w:rsid w:val="009751CB"/>
    <w:rsid w:val="00977518"/>
    <w:rsid w:val="0098078E"/>
    <w:rsid w:val="009822A8"/>
    <w:rsid w:val="00983A5E"/>
    <w:rsid w:val="009863AC"/>
    <w:rsid w:val="009864D2"/>
    <w:rsid w:val="0099294D"/>
    <w:rsid w:val="009A18FB"/>
    <w:rsid w:val="009A4BAE"/>
    <w:rsid w:val="009A6FAF"/>
    <w:rsid w:val="009B0F71"/>
    <w:rsid w:val="009B7A86"/>
    <w:rsid w:val="009B7F2B"/>
    <w:rsid w:val="009C31F7"/>
    <w:rsid w:val="009C6D8E"/>
    <w:rsid w:val="009D06D9"/>
    <w:rsid w:val="009D3BF6"/>
    <w:rsid w:val="009D6E63"/>
    <w:rsid w:val="009E20DF"/>
    <w:rsid w:val="009E3473"/>
    <w:rsid w:val="009E7D42"/>
    <w:rsid w:val="009F1975"/>
    <w:rsid w:val="009F2465"/>
    <w:rsid w:val="009F46FA"/>
    <w:rsid w:val="00A02871"/>
    <w:rsid w:val="00A0504A"/>
    <w:rsid w:val="00A06348"/>
    <w:rsid w:val="00A20FB8"/>
    <w:rsid w:val="00A260E7"/>
    <w:rsid w:val="00A2671C"/>
    <w:rsid w:val="00A2795A"/>
    <w:rsid w:val="00A306C2"/>
    <w:rsid w:val="00A43183"/>
    <w:rsid w:val="00A43D2B"/>
    <w:rsid w:val="00A53BEB"/>
    <w:rsid w:val="00A55565"/>
    <w:rsid w:val="00A57785"/>
    <w:rsid w:val="00A61772"/>
    <w:rsid w:val="00A644F5"/>
    <w:rsid w:val="00A746BA"/>
    <w:rsid w:val="00A82252"/>
    <w:rsid w:val="00A840FA"/>
    <w:rsid w:val="00A84EC1"/>
    <w:rsid w:val="00A84FD8"/>
    <w:rsid w:val="00A9148F"/>
    <w:rsid w:val="00AB0DDA"/>
    <w:rsid w:val="00AB15E5"/>
    <w:rsid w:val="00AB4D4C"/>
    <w:rsid w:val="00AD01F2"/>
    <w:rsid w:val="00AD27F7"/>
    <w:rsid w:val="00AD5BCE"/>
    <w:rsid w:val="00AD6E86"/>
    <w:rsid w:val="00AE0C61"/>
    <w:rsid w:val="00AE0D64"/>
    <w:rsid w:val="00AE65C6"/>
    <w:rsid w:val="00AE6776"/>
    <w:rsid w:val="00AE708D"/>
    <w:rsid w:val="00AE7B32"/>
    <w:rsid w:val="00B0229A"/>
    <w:rsid w:val="00B02D14"/>
    <w:rsid w:val="00B02DF4"/>
    <w:rsid w:val="00B07271"/>
    <w:rsid w:val="00B12076"/>
    <w:rsid w:val="00B312BD"/>
    <w:rsid w:val="00B33BBD"/>
    <w:rsid w:val="00B35A9F"/>
    <w:rsid w:val="00B42A9F"/>
    <w:rsid w:val="00B50DD4"/>
    <w:rsid w:val="00B55FA0"/>
    <w:rsid w:val="00B679AA"/>
    <w:rsid w:val="00B70115"/>
    <w:rsid w:val="00B73D20"/>
    <w:rsid w:val="00B73F14"/>
    <w:rsid w:val="00B74BAF"/>
    <w:rsid w:val="00B7642C"/>
    <w:rsid w:val="00B9475F"/>
    <w:rsid w:val="00BA0BFF"/>
    <w:rsid w:val="00BB5A1E"/>
    <w:rsid w:val="00BC0F3F"/>
    <w:rsid w:val="00BC2F8C"/>
    <w:rsid w:val="00BD0DD4"/>
    <w:rsid w:val="00BD1D6D"/>
    <w:rsid w:val="00BD62B2"/>
    <w:rsid w:val="00BF10F6"/>
    <w:rsid w:val="00C12EA3"/>
    <w:rsid w:val="00C13140"/>
    <w:rsid w:val="00C1447A"/>
    <w:rsid w:val="00C148D4"/>
    <w:rsid w:val="00C40442"/>
    <w:rsid w:val="00C440C5"/>
    <w:rsid w:val="00C44715"/>
    <w:rsid w:val="00C549BE"/>
    <w:rsid w:val="00C72556"/>
    <w:rsid w:val="00C905C0"/>
    <w:rsid w:val="00CB0412"/>
    <w:rsid w:val="00CB1AA5"/>
    <w:rsid w:val="00CB22C7"/>
    <w:rsid w:val="00CB5FB2"/>
    <w:rsid w:val="00CC6831"/>
    <w:rsid w:val="00CC715F"/>
    <w:rsid w:val="00CE6821"/>
    <w:rsid w:val="00CF019D"/>
    <w:rsid w:val="00CF3301"/>
    <w:rsid w:val="00D0725E"/>
    <w:rsid w:val="00D17515"/>
    <w:rsid w:val="00D20A05"/>
    <w:rsid w:val="00D23BC9"/>
    <w:rsid w:val="00D2596C"/>
    <w:rsid w:val="00D264CD"/>
    <w:rsid w:val="00D33545"/>
    <w:rsid w:val="00D427DB"/>
    <w:rsid w:val="00D56717"/>
    <w:rsid w:val="00D569E4"/>
    <w:rsid w:val="00D57EB2"/>
    <w:rsid w:val="00D607F9"/>
    <w:rsid w:val="00D6644C"/>
    <w:rsid w:val="00D75C4B"/>
    <w:rsid w:val="00D80BAD"/>
    <w:rsid w:val="00D8666F"/>
    <w:rsid w:val="00D9040D"/>
    <w:rsid w:val="00D91A02"/>
    <w:rsid w:val="00D91D37"/>
    <w:rsid w:val="00DA0300"/>
    <w:rsid w:val="00DA038F"/>
    <w:rsid w:val="00DA10CD"/>
    <w:rsid w:val="00DA1E34"/>
    <w:rsid w:val="00DB2DE6"/>
    <w:rsid w:val="00DB2FE5"/>
    <w:rsid w:val="00DB55AC"/>
    <w:rsid w:val="00DB5D1F"/>
    <w:rsid w:val="00DB6111"/>
    <w:rsid w:val="00DB6A31"/>
    <w:rsid w:val="00DC5EAD"/>
    <w:rsid w:val="00DC6EC3"/>
    <w:rsid w:val="00DD0891"/>
    <w:rsid w:val="00DD1A12"/>
    <w:rsid w:val="00DD3568"/>
    <w:rsid w:val="00DD7468"/>
    <w:rsid w:val="00DE22FE"/>
    <w:rsid w:val="00DE5991"/>
    <w:rsid w:val="00DF43D3"/>
    <w:rsid w:val="00E02BCC"/>
    <w:rsid w:val="00E0673E"/>
    <w:rsid w:val="00E07B29"/>
    <w:rsid w:val="00E116FE"/>
    <w:rsid w:val="00E16A32"/>
    <w:rsid w:val="00E205BC"/>
    <w:rsid w:val="00E237BE"/>
    <w:rsid w:val="00E340BC"/>
    <w:rsid w:val="00E34F2D"/>
    <w:rsid w:val="00E42769"/>
    <w:rsid w:val="00E45480"/>
    <w:rsid w:val="00E6307B"/>
    <w:rsid w:val="00E70ABB"/>
    <w:rsid w:val="00E719DE"/>
    <w:rsid w:val="00E72186"/>
    <w:rsid w:val="00E7332A"/>
    <w:rsid w:val="00E73654"/>
    <w:rsid w:val="00E75823"/>
    <w:rsid w:val="00E90C7A"/>
    <w:rsid w:val="00E93D5E"/>
    <w:rsid w:val="00E952B2"/>
    <w:rsid w:val="00EA0E25"/>
    <w:rsid w:val="00EB5D34"/>
    <w:rsid w:val="00EB7034"/>
    <w:rsid w:val="00EC13BC"/>
    <w:rsid w:val="00ED338C"/>
    <w:rsid w:val="00EF1CE7"/>
    <w:rsid w:val="00EF4450"/>
    <w:rsid w:val="00EF6658"/>
    <w:rsid w:val="00F01002"/>
    <w:rsid w:val="00F138A0"/>
    <w:rsid w:val="00F13D77"/>
    <w:rsid w:val="00F2022D"/>
    <w:rsid w:val="00F2059C"/>
    <w:rsid w:val="00F21872"/>
    <w:rsid w:val="00F23860"/>
    <w:rsid w:val="00F330BC"/>
    <w:rsid w:val="00F405F3"/>
    <w:rsid w:val="00F40A7C"/>
    <w:rsid w:val="00F57251"/>
    <w:rsid w:val="00F62BD0"/>
    <w:rsid w:val="00F738DB"/>
    <w:rsid w:val="00F75D14"/>
    <w:rsid w:val="00F77992"/>
    <w:rsid w:val="00F807F0"/>
    <w:rsid w:val="00F8289C"/>
    <w:rsid w:val="00F93CC9"/>
    <w:rsid w:val="00F96EF6"/>
    <w:rsid w:val="00FA014F"/>
    <w:rsid w:val="00FA0FD5"/>
    <w:rsid w:val="00FA16AA"/>
    <w:rsid w:val="00FA669D"/>
    <w:rsid w:val="00FB06A6"/>
    <w:rsid w:val="00FB0766"/>
    <w:rsid w:val="00FB1741"/>
    <w:rsid w:val="00FB3CB0"/>
    <w:rsid w:val="00FB738F"/>
    <w:rsid w:val="00FD2E25"/>
    <w:rsid w:val="00FD79B2"/>
    <w:rsid w:val="00FE1006"/>
    <w:rsid w:val="00FE1E0C"/>
    <w:rsid w:val="00FE2EC5"/>
    <w:rsid w:val="00FE3C4B"/>
    <w:rsid w:val="00FE3EF5"/>
    <w:rsid w:val="00FE6970"/>
    <w:rsid w:val="00FF6D19"/>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CCB5A"/>
  <w15:chartTrackingRefBased/>
  <w15:docId w15:val="{6544C94D-26B8-4993-89FB-D0F2236FF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3E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2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05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778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7785"/>
    <w:rPr>
      <w:rFonts w:eastAsiaTheme="minorEastAsia"/>
      <w:lang w:val="en-US"/>
    </w:rPr>
  </w:style>
  <w:style w:type="paragraph" w:styleId="Header">
    <w:name w:val="header"/>
    <w:basedOn w:val="Normal"/>
    <w:link w:val="HeaderChar"/>
    <w:uiPriority w:val="99"/>
    <w:unhideWhenUsed/>
    <w:rsid w:val="00573E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E1C"/>
  </w:style>
  <w:style w:type="paragraph" w:styleId="Footer">
    <w:name w:val="footer"/>
    <w:basedOn w:val="Normal"/>
    <w:link w:val="FooterChar"/>
    <w:uiPriority w:val="99"/>
    <w:unhideWhenUsed/>
    <w:rsid w:val="00573E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E1C"/>
  </w:style>
  <w:style w:type="character" w:customStyle="1" w:styleId="Heading1Char">
    <w:name w:val="Heading 1 Char"/>
    <w:basedOn w:val="DefaultParagraphFont"/>
    <w:link w:val="Heading1"/>
    <w:uiPriority w:val="9"/>
    <w:rsid w:val="00573E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3E1C"/>
    <w:pPr>
      <w:outlineLvl w:val="9"/>
    </w:pPr>
    <w:rPr>
      <w:lang w:val="en-US"/>
    </w:rPr>
  </w:style>
  <w:style w:type="paragraph" w:styleId="TOC1">
    <w:name w:val="toc 1"/>
    <w:basedOn w:val="Normal"/>
    <w:next w:val="Normal"/>
    <w:autoRedefine/>
    <w:uiPriority w:val="39"/>
    <w:unhideWhenUsed/>
    <w:rsid w:val="004570D1"/>
    <w:pPr>
      <w:spacing w:after="100"/>
    </w:pPr>
  </w:style>
  <w:style w:type="character" w:styleId="Hyperlink">
    <w:name w:val="Hyperlink"/>
    <w:basedOn w:val="DefaultParagraphFont"/>
    <w:uiPriority w:val="99"/>
    <w:unhideWhenUsed/>
    <w:rsid w:val="004570D1"/>
    <w:rPr>
      <w:color w:val="0563C1" w:themeColor="hyperlink"/>
      <w:u w:val="single"/>
    </w:rPr>
  </w:style>
  <w:style w:type="paragraph" w:styleId="ListParagraph">
    <w:name w:val="List Paragraph"/>
    <w:basedOn w:val="Normal"/>
    <w:uiPriority w:val="34"/>
    <w:qFormat/>
    <w:rsid w:val="003D3414"/>
    <w:pPr>
      <w:ind w:left="720"/>
      <w:contextualSpacing/>
    </w:pPr>
  </w:style>
  <w:style w:type="table" w:styleId="TableGrid">
    <w:name w:val="Table Grid"/>
    <w:basedOn w:val="TableNormal"/>
    <w:uiPriority w:val="39"/>
    <w:rsid w:val="004E5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B120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434DF"/>
    <w:pPr>
      <w:spacing w:after="100"/>
      <w:ind w:left="220"/>
    </w:pPr>
  </w:style>
  <w:style w:type="table" w:customStyle="1" w:styleId="TableGrid1">
    <w:name w:val="Table Grid1"/>
    <w:basedOn w:val="TableNormal"/>
    <w:next w:val="TableGrid"/>
    <w:uiPriority w:val="39"/>
    <w:rsid w:val="00813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0057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79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h.gov.my" TargetMode="Externa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Malalaysia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617421-2F6F-468C-BE69-22331E087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12548</Words>
  <Characters>71529</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Development of an Online Electronic Health Record System User Training Modules</vt:lpstr>
    </vt:vector>
  </TitlesOfParts>
  <Company>Ministry of Health</Company>
  <LinksUpToDate>false</LinksUpToDate>
  <CharactersWithSpaces>83910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Online Electronic Health Record System User Training Modules</dc:title>
  <dc:subject/>
  <dc:creator>Siti Nurbaya Shahrir</dc:creator>
  <cp:keywords/>
  <dc:description/>
  <cp:lastModifiedBy>Nurbaya</cp:lastModifiedBy>
  <cp:revision>6</cp:revision>
  <dcterms:created xsi:type="dcterms:W3CDTF">2022-12-30T13:09:00Z</dcterms:created>
  <dcterms:modified xsi:type="dcterms:W3CDTF">2022-12-30T13:18:00Z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f5a1e3aa-ed7f-34c1-b62c-421915812d97</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9th edition</vt:lpwstr>
  </property>
</Properties>
</file>