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A97" w:rsidRDefault="001B4A97" w:rsidP="001B4A97">
      <w:pPr>
        <w:spacing w:after="0" w:line="480" w:lineRule="auto"/>
        <w:jc w:val="both"/>
        <w:rPr>
          <w:rFonts w:cs="Calibri"/>
          <w:color w:val="202124"/>
          <w:shd w:val="clear" w:color="auto" w:fill="FFFFFF"/>
        </w:rPr>
      </w:pPr>
      <w:r>
        <w:rPr>
          <w:rFonts w:cs="Calibri"/>
          <w:color w:val="202124"/>
          <w:shd w:val="clear" w:color="auto" w:fill="FFFFFF"/>
        </w:rPr>
        <w:t xml:space="preserve">Summary of methods used to assess fairness distribution of hospital-based physician. </w:t>
      </w:r>
    </w:p>
    <w:tbl>
      <w:tblPr>
        <w:tblW w:w="9777" w:type="dxa"/>
        <w:tblInd w:w="-426" w:type="dxa"/>
        <w:tblLook w:val="04A0" w:firstRow="1" w:lastRow="0" w:firstColumn="1" w:lastColumn="0" w:noHBand="0" w:noVBand="1"/>
      </w:tblPr>
      <w:tblGrid>
        <w:gridCol w:w="456"/>
        <w:gridCol w:w="1808"/>
        <w:gridCol w:w="2552"/>
        <w:gridCol w:w="2551"/>
        <w:gridCol w:w="2410"/>
      </w:tblGrid>
      <w:tr w:rsidR="001B4A97" w:rsidTr="001B4A97">
        <w:trPr>
          <w:trHeight w:val="315"/>
        </w:trPr>
        <w:tc>
          <w:tcPr>
            <w:tcW w:w="456" w:type="dxa"/>
            <w:tcBorders>
              <w:top w:val="single" w:sz="4" w:space="0" w:color="auto"/>
              <w:left w:val="nil"/>
              <w:bottom w:val="single" w:sz="4" w:space="0" w:color="auto"/>
              <w:right w:val="nil"/>
            </w:tcBorders>
            <w:shd w:val="clear" w:color="auto" w:fill="E7E6E6"/>
            <w:noWrap/>
            <w:hideMark/>
          </w:tcPr>
          <w:p w:rsidR="001B4A97" w:rsidRDefault="001B4A97">
            <w:pPr>
              <w:spacing w:after="0"/>
              <w:rPr>
                <w:rFonts w:eastAsia="Times New Roman" w:cs="Calibri"/>
                <w:b/>
                <w:bCs/>
                <w:color w:val="000000"/>
                <w:sz w:val="20"/>
                <w:szCs w:val="20"/>
              </w:rPr>
            </w:pPr>
            <w:r>
              <w:rPr>
                <w:rFonts w:eastAsia="Times New Roman" w:cs="Calibri"/>
                <w:b/>
                <w:bCs/>
                <w:color w:val="000000"/>
                <w:sz w:val="20"/>
                <w:szCs w:val="20"/>
              </w:rPr>
              <w:t>No</w:t>
            </w:r>
          </w:p>
        </w:tc>
        <w:tc>
          <w:tcPr>
            <w:tcW w:w="1808" w:type="dxa"/>
            <w:tcBorders>
              <w:top w:val="single" w:sz="4" w:space="0" w:color="auto"/>
              <w:left w:val="nil"/>
              <w:bottom w:val="single" w:sz="4" w:space="0" w:color="auto"/>
              <w:right w:val="nil"/>
            </w:tcBorders>
            <w:shd w:val="clear" w:color="auto" w:fill="E7E6E6"/>
            <w:noWrap/>
            <w:hideMark/>
          </w:tcPr>
          <w:p w:rsidR="001B4A97" w:rsidRDefault="001B4A97">
            <w:pPr>
              <w:spacing w:after="0"/>
              <w:rPr>
                <w:rFonts w:eastAsia="Times New Roman" w:cs="Calibri"/>
                <w:b/>
                <w:bCs/>
                <w:color w:val="000000"/>
                <w:sz w:val="20"/>
                <w:szCs w:val="20"/>
              </w:rPr>
            </w:pPr>
            <w:r>
              <w:rPr>
                <w:rFonts w:eastAsia="Times New Roman" w:cs="Calibri"/>
                <w:b/>
                <w:bCs/>
                <w:color w:val="000000"/>
                <w:sz w:val="20"/>
                <w:szCs w:val="20"/>
              </w:rPr>
              <w:t>Method</w:t>
            </w:r>
          </w:p>
        </w:tc>
        <w:tc>
          <w:tcPr>
            <w:tcW w:w="2552" w:type="dxa"/>
            <w:tcBorders>
              <w:top w:val="single" w:sz="4" w:space="0" w:color="auto"/>
              <w:left w:val="nil"/>
              <w:bottom w:val="single" w:sz="4" w:space="0" w:color="auto"/>
              <w:right w:val="nil"/>
            </w:tcBorders>
            <w:shd w:val="clear" w:color="auto" w:fill="E7E6E6"/>
            <w:noWrap/>
            <w:hideMark/>
          </w:tcPr>
          <w:p w:rsidR="001B4A97" w:rsidRDefault="001B4A97">
            <w:pPr>
              <w:spacing w:after="0"/>
              <w:rPr>
                <w:rFonts w:eastAsia="Times New Roman" w:cs="Calibri"/>
                <w:b/>
                <w:bCs/>
                <w:sz w:val="20"/>
                <w:szCs w:val="20"/>
              </w:rPr>
            </w:pPr>
            <w:r>
              <w:rPr>
                <w:rFonts w:eastAsia="Times New Roman" w:cs="Calibri"/>
                <w:b/>
                <w:bCs/>
                <w:sz w:val="20"/>
                <w:szCs w:val="20"/>
              </w:rPr>
              <w:t>Brief Description</w:t>
            </w:r>
          </w:p>
        </w:tc>
        <w:tc>
          <w:tcPr>
            <w:tcW w:w="2551" w:type="dxa"/>
            <w:tcBorders>
              <w:top w:val="single" w:sz="4" w:space="0" w:color="auto"/>
              <w:left w:val="nil"/>
              <w:bottom w:val="single" w:sz="4" w:space="0" w:color="auto"/>
              <w:right w:val="nil"/>
            </w:tcBorders>
            <w:shd w:val="clear" w:color="auto" w:fill="E7E6E6"/>
            <w:noWrap/>
            <w:hideMark/>
          </w:tcPr>
          <w:p w:rsidR="001B4A97" w:rsidRDefault="001B4A97">
            <w:pPr>
              <w:spacing w:after="0"/>
              <w:rPr>
                <w:rFonts w:eastAsia="Times New Roman" w:cs="Calibri"/>
                <w:b/>
                <w:bCs/>
                <w:color w:val="000000"/>
                <w:sz w:val="20"/>
                <w:szCs w:val="20"/>
              </w:rPr>
            </w:pPr>
            <w:r>
              <w:rPr>
                <w:rFonts w:eastAsia="Times New Roman" w:cs="Calibri"/>
                <w:b/>
                <w:bCs/>
                <w:color w:val="000000"/>
                <w:sz w:val="20"/>
                <w:szCs w:val="20"/>
              </w:rPr>
              <w:t>Advantages</w:t>
            </w:r>
          </w:p>
        </w:tc>
        <w:tc>
          <w:tcPr>
            <w:tcW w:w="2410" w:type="dxa"/>
            <w:tcBorders>
              <w:top w:val="single" w:sz="4" w:space="0" w:color="auto"/>
              <w:left w:val="nil"/>
              <w:bottom w:val="single" w:sz="4" w:space="0" w:color="auto"/>
              <w:right w:val="nil"/>
            </w:tcBorders>
            <w:shd w:val="clear" w:color="auto" w:fill="E7E6E6"/>
            <w:noWrap/>
            <w:hideMark/>
          </w:tcPr>
          <w:p w:rsidR="001B4A97" w:rsidRDefault="001B4A97">
            <w:pPr>
              <w:spacing w:after="0"/>
              <w:rPr>
                <w:rFonts w:eastAsia="Times New Roman" w:cs="Calibri"/>
                <w:b/>
                <w:bCs/>
                <w:color w:val="000000"/>
                <w:sz w:val="20"/>
                <w:szCs w:val="20"/>
              </w:rPr>
            </w:pPr>
            <w:r>
              <w:rPr>
                <w:rFonts w:eastAsia="Times New Roman" w:cs="Calibri"/>
                <w:b/>
                <w:bCs/>
                <w:color w:val="000000"/>
                <w:sz w:val="20"/>
                <w:szCs w:val="20"/>
              </w:rPr>
              <w:t>Limitation</w:t>
            </w:r>
          </w:p>
        </w:tc>
      </w:tr>
      <w:tr w:rsidR="001B4A97" w:rsidTr="001B4A97">
        <w:trPr>
          <w:trHeight w:val="3518"/>
        </w:trPr>
        <w:tc>
          <w:tcPr>
            <w:tcW w:w="456" w:type="dxa"/>
            <w:tcBorders>
              <w:top w:val="single" w:sz="4" w:space="0" w:color="auto"/>
              <w:left w:val="nil"/>
              <w:bottom w:val="nil"/>
              <w:right w:val="nil"/>
            </w:tcBorders>
            <w:noWrap/>
            <w:hideMark/>
          </w:tcPr>
          <w:p w:rsidR="001B4A97" w:rsidRDefault="001B4A97">
            <w:pPr>
              <w:spacing w:after="0"/>
              <w:jc w:val="center"/>
              <w:rPr>
                <w:rFonts w:eastAsia="Times New Roman" w:cs="Calibri"/>
                <w:color w:val="000000"/>
                <w:sz w:val="20"/>
                <w:szCs w:val="20"/>
              </w:rPr>
            </w:pPr>
            <w:r>
              <w:rPr>
                <w:rFonts w:eastAsia="Times New Roman" w:cs="Calibri"/>
                <w:color w:val="000000"/>
                <w:sz w:val="20"/>
                <w:szCs w:val="20"/>
              </w:rPr>
              <w:t>1.</w:t>
            </w:r>
          </w:p>
        </w:tc>
        <w:tc>
          <w:tcPr>
            <w:tcW w:w="1808" w:type="dxa"/>
            <w:tcBorders>
              <w:top w:val="single" w:sz="4" w:space="0" w:color="auto"/>
              <w:left w:val="nil"/>
              <w:bottom w:val="nil"/>
              <w:right w:val="nil"/>
            </w:tcBorders>
            <w:hideMark/>
          </w:tcPr>
          <w:p w:rsidR="001B4A97" w:rsidRDefault="001B4A97">
            <w:pPr>
              <w:spacing w:after="0"/>
              <w:rPr>
                <w:rFonts w:eastAsia="Times New Roman" w:cs="Calibri"/>
                <w:color w:val="000000"/>
                <w:sz w:val="20"/>
                <w:szCs w:val="20"/>
              </w:rPr>
            </w:pPr>
            <w:r>
              <w:rPr>
                <w:rFonts w:eastAsia="Times New Roman" w:cs="Calibri"/>
                <w:color w:val="000000"/>
                <w:sz w:val="20"/>
                <w:szCs w:val="20"/>
              </w:rPr>
              <w:t>Gini coefficient and Lorenz curve</w:t>
            </w:r>
          </w:p>
        </w:tc>
        <w:tc>
          <w:tcPr>
            <w:tcW w:w="2552" w:type="dxa"/>
            <w:tcBorders>
              <w:top w:val="single" w:sz="4" w:space="0" w:color="auto"/>
              <w:left w:val="nil"/>
              <w:bottom w:val="nil"/>
              <w:right w:val="nil"/>
            </w:tcBorders>
            <w:hideMark/>
          </w:tcPr>
          <w:p w:rsidR="001B4A97" w:rsidRDefault="001B4A97">
            <w:pPr>
              <w:spacing w:after="0"/>
              <w:rPr>
                <w:rFonts w:eastAsia="Times New Roman" w:cs="Calibri"/>
                <w:sz w:val="20"/>
                <w:szCs w:val="20"/>
              </w:rPr>
            </w:pPr>
            <w:r>
              <w:rPr>
                <w:rFonts w:eastAsia="Times New Roman" w:cs="Calibri"/>
                <w:sz w:val="20"/>
                <w:szCs w:val="20"/>
              </w:rPr>
              <w:t>A measure of income distribution across a population, expressed as a number between 0 (perfect equality) and 1 (perfect inequality).                       Assumption is that there are classes with higher and lower balances.                                             Ordering balances on the horizontal axis and the cumulative sum of these balances gives a Lorenz curve.</w:t>
            </w:r>
          </w:p>
        </w:tc>
        <w:tc>
          <w:tcPr>
            <w:tcW w:w="2551" w:type="dxa"/>
            <w:tcBorders>
              <w:top w:val="single" w:sz="4" w:space="0" w:color="auto"/>
              <w:left w:val="nil"/>
              <w:bottom w:val="nil"/>
              <w:right w:val="nil"/>
            </w:tcBorders>
            <w:hideMark/>
          </w:tcPr>
          <w:p w:rsidR="001B4A97" w:rsidRDefault="001B4A97" w:rsidP="00C36626">
            <w:pPr>
              <w:pStyle w:val="ListParagraph"/>
              <w:numPr>
                <w:ilvl w:val="0"/>
                <w:numId w:val="1"/>
              </w:numPr>
              <w:spacing w:after="0"/>
              <w:ind w:hanging="181"/>
              <w:rPr>
                <w:rFonts w:eastAsia="Times New Roman" w:cs="Calibri"/>
                <w:color w:val="000000"/>
                <w:sz w:val="20"/>
                <w:szCs w:val="20"/>
              </w:rPr>
            </w:pPr>
            <w:r>
              <w:rPr>
                <w:rFonts w:eastAsia="Times New Roman" w:cs="Calibri"/>
                <w:color w:val="000000"/>
                <w:sz w:val="20"/>
                <w:szCs w:val="20"/>
              </w:rPr>
              <w:t>Generally regarded as gold standard in economic work.</w:t>
            </w:r>
          </w:p>
          <w:p w:rsidR="001B4A97" w:rsidRDefault="001B4A97" w:rsidP="00C36626">
            <w:pPr>
              <w:pStyle w:val="ListParagraph"/>
              <w:numPr>
                <w:ilvl w:val="0"/>
                <w:numId w:val="1"/>
              </w:numPr>
              <w:spacing w:after="0"/>
              <w:ind w:hanging="181"/>
              <w:rPr>
                <w:rFonts w:eastAsia="Times New Roman" w:cs="Calibri"/>
                <w:color w:val="000000"/>
                <w:sz w:val="20"/>
                <w:szCs w:val="20"/>
              </w:rPr>
            </w:pPr>
            <w:r>
              <w:rPr>
                <w:rFonts w:eastAsia="Times New Roman" w:cs="Calibri"/>
                <w:color w:val="000000"/>
                <w:sz w:val="20"/>
                <w:szCs w:val="20"/>
              </w:rPr>
              <w:t>Incorporates all data.</w:t>
            </w:r>
          </w:p>
          <w:p w:rsidR="001B4A97" w:rsidRDefault="001B4A97" w:rsidP="00C36626">
            <w:pPr>
              <w:pStyle w:val="ListParagraph"/>
              <w:numPr>
                <w:ilvl w:val="0"/>
                <w:numId w:val="1"/>
              </w:numPr>
              <w:spacing w:after="0"/>
              <w:ind w:hanging="181"/>
              <w:rPr>
                <w:rFonts w:eastAsia="Times New Roman" w:cs="Calibri"/>
                <w:color w:val="000000"/>
                <w:sz w:val="20"/>
                <w:szCs w:val="20"/>
              </w:rPr>
            </w:pPr>
            <w:r>
              <w:rPr>
                <w:rFonts w:eastAsia="Times New Roman" w:cs="Calibri"/>
                <w:color w:val="000000"/>
                <w:sz w:val="20"/>
                <w:szCs w:val="20"/>
              </w:rPr>
              <w:t>Allows direct comparison between units with different size population.</w:t>
            </w:r>
          </w:p>
          <w:p w:rsidR="001B4A97" w:rsidRDefault="001B4A97" w:rsidP="00C36626">
            <w:pPr>
              <w:pStyle w:val="ListParagraph"/>
              <w:numPr>
                <w:ilvl w:val="0"/>
                <w:numId w:val="1"/>
              </w:numPr>
              <w:spacing w:after="0"/>
              <w:ind w:hanging="181"/>
              <w:rPr>
                <w:rFonts w:eastAsia="Times New Roman" w:cs="Calibri"/>
                <w:color w:val="000000"/>
                <w:sz w:val="20"/>
                <w:szCs w:val="20"/>
              </w:rPr>
            </w:pPr>
            <w:r>
              <w:rPr>
                <w:rFonts w:eastAsia="Times New Roman" w:cs="Calibri"/>
                <w:color w:val="000000"/>
                <w:sz w:val="20"/>
                <w:szCs w:val="20"/>
              </w:rPr>
              <w:t>Attractive intuitive interpretation.</w:t>
            </w:r>
          </w:p>
        </w:tc>
        <w:tc>
          <w:tcPr>
            <w:tcW w:w="2410" w:type="dxa"/>
            <w:tcBorders>
              <w:top w:val="single" w:sz="4" w:space="0" w:color="auto"/>
              <w:left w:val="nil"/>
              <w:bottom w:val="nil"/>
              <w:right w:val="nil"/>
            </w:tcBorders>
            <w:hideMark/>
          </w:tcPr>
          <w:p w:rsidR="001B4A97" w:rsidRDefault="001B4A97" w:rsidP="00C36626">
            <w:pPr>
              <w:pStyle w:val="ListParagraph"/>
              <w:numPr>
                <w:ilvl w:val="0"/>
                <w:numId w:val="2"/>
              </w:numPr>
              <w:spacing w:after="0"/>
              <w:ind w:hanging="179"/>
              <w:rPr>
                <w:rFonts w:eastAsia="Times New Roman" w:cs="Calibri"/>
                <w:color w:val="000000"/>
                <w:sz w:val="20"/>
                <w:szCs w:val="20"/>
              </w:rPr>
            </w:pPr>
            <w:r>
              <w:rPr>
                <w:rFonts w:eastAsia="Times New Roman" w:cs="Calibri"/>
                <w:color w:val="000000"/>
                <w:sz w:val="20"/>
                <w:szCs w:val="20"/>
              </w:rPr>
              <w:t>Requires comprehensive individual level data.</w:t>
            </w:r>
          </w:p>
          <w:p w:rsidR="001B4A97" w:rsidRDefault="001B4A97" w:rsidP="00C36626">
            <w:pPr>
              <w:pStyle w:val="ListParagraph"/>
              <w:numPr>
                <w:ilvl w:val="0"/>
                <w:numId w:val="2"/>
              </w:numPr>
              <w:spacing w:after="0"/>
              <w:ind w:hanging="179"/>
              <w:rPr>
                <w:rFonts w:eastAsia="Times New Roman" w:cs="Calibri"/>
                <w:color w:val="000000"/>
                <w:sz w:val="20"/>
                <w:szCs w:val="20"/>
              </w:rPr>
            </w:pPr>
            <w:r>
              <w:rPr>
                <w:rFonts w:eastAsia="Times New Roman" w:cs="Calibri"/>
                <w:color w:val="000000"/>
                <w:sz w:val="20"/>
                <w:szCs w:val="20"/>
              </w:rPr>
              <w:t>Requires more sophisticated computations.</w:t>
            </w:r>
          </w:p>
          <w:p w:rsidR="001B4A97" w:rsidRDefault="001B4A97" w:rsidP="00C36626">
            <w:pPr>
              <w:pStyle w:val="ListParagraph"/>
              <w:numPr>
                <w:ilvl w:val="0"/>
                <w:numId w:val="2"/>
              </w:numPr>
              <w:spacing w:after="0"/>
              <w:ind w:hanging="179"/>
              <w:rPr>
                <w:rFonts w:eastAsia="Times New Roman" w:cs="Calibri"/>
                <w:color w:val="000000"/>
                <w:sz w:val="20"/>
                <w:szCs w:val="20"/>
              </w:rPr>
            </w:pPr>
            <w:r>
              <w:rPr>
                <w:rFonts w:eastAsia="Times New Roman" w:cs="Calibri"/>
                <w:color w:val="000000"/>
                <w:sz w:val="20"/>
                <w:szCs w:val="20"/>
              </w:rPr>
              <w:t>Can only reflect the overall difference but not the fairness within the studied population/ region.</w:t>
            </w:r>
          </w:p>
        </w:tc>
      </w:tr>
      <w:tr w:rsidR="001B4A97" w:rsidTr="001B4A97">
        <w:trPr>
          <w:trHeight w:val="3823"/>
        </w:trPr>
        <w:tc>
          <w:tcPr>
            <w:tcW w:w="456" w:type="dxa"/>
            <w:tcBorders>
              <w:top w:val="nil"/>
              <w:left w:val="nil"/>
              <w:bottom w:val="nil"/>
              <w:right w:val="nil"/>
            </w:tcBorders>
            <w:shd w:val="clear" w:color="auto" w:fill="E7E6E6"/>
            <w:noWrap/>
            <w:hideMark/>
          </w:tcPr>
          <w:p w:rsidR="001B4A97" w:rsidRDefault="001B4A97">
            <w:pPr>
              <w:spacing w:after="0"/>
              <w:jc w:val="center"/>
              <w:rPr>
                <w:rFonts w:eastAsia="Times New Roman" w:cs="Calibri"/>
                <w:color w:val="000000"/>
                <w:sz w:val="20"/>
                <w:szCs w:val="20"/>
              </w:rPr>
            </w:pPr>
            <w:r>
              <w:rPr>
                <w:rFonts w:eastAsia="Times New Roman" w:cs="Calibri"/>
                <w:color w:val="000000"/>
                <w:sz w:val="20"/>
                <w:szCs w:val="20"/>
              </w:rPr>
              <w:t>2.</w:t>
            </w:r>
          </w:p>
        </w:tc>
        <w:tc>
          <w:tcPr>
            <w:tcW w:w="1808" w:type="dxa"/>
            <w:tcBorders>
              <w:top w:val="nil"/>
              <w:left w:val="nil"/>
              <w:bottom w:val="nil"/>
              <w:right w:val="nil"/>
            </w:tcBorders>
            <w:shd w:val="clear" w:color="auto" w:fill="E7E6E6"/>
            <w:noWrap/>
            <w:hideMark/>
          </w:tcPr>
          <w:p w:rsidR="001B4A97" w:rsidRDefault="001B4A97">
            <w:pPr>
              <w:spacing w:after="0"/>
              <w:rPr>
                <w:rFonts w:eastAsia="Times New Roman" w:cs="Calibri"/>
                <w:color w:val="000000"/>
                <w:sz w:val="20"/>
                <w:szCs w:val="20"/>
              </w:rPr>
            </w:pPr>
            <w:r>
              <w:rPr>
                <w:rFonts w:eastAsia="Times New Roman" w:cs="Calibri"/>
                <w:color w:val="000000"/>
                <w:sz w:val="20"/>
                <w:szCs w:val="20"/>
              </w:rPr>
              <w:t>Theil Index</w:t>
            </w:r>
          </w:p>
        </w:tc>
        <w:tc>
          <w:tcPr>
            <w:tcW w:w="2552" w:type="dxa"/>
            <w:tcBorders>
              <w:top w:val="nil"/>
              <w:left w:val="nil"/>
              <w:bottom w:val="nil"/>
              <w:right w:val="nil"/>
            </w:tcBorders>
            <w:shd w:val="clear" w:color="auto" w:fill="E7E6E6"/>
            <w:hideMark/>
          </w:tcPr>
          <w:p w:rsidR="001B4A97" w:rsidRDefault="001B4A97">
            <w:pPr>
              <w:spacing w:after="0"/>
              <w:rPr>
                <w:rFonts w:eastAsia="Times New Roman" w:cs="Calibri"/>
                <w:sz w:val="20"/>
                <w:szCs w:val="20"/>
              </w:rPr>
            </w:pPr>
            <w:r>
              <w:rPr>
                <w:rFonts w:eastAsia="Times New Roman" w:cs="Calibri"/>
                <w:sz w:val="20"/>
                <w:szCs w:val="20"/>
              </w:rPr>
              <w:t xml:space="preserve">Measure of relative inequality in cases where there is no natural ordering among population subgroups.                          When there is no inequality, Theil index is 0. </w:t>
            </w:r>
          </w:p>
        </w:tc>
        <w:tc>
          <w:tcPr>
            <w:tcW w:w="2551" w:type="dxa"/>
            <w:tcBorders>
              <w:top w:val="nil"/>
              <w:left w:val="nil"/>
              <w:bottom w:val="nil"/>
              <w:right w:val="nil"/>
            </w:tcBorders>
            <w:shd w:val="clear" w:color="auto" w:fill="E7E6E6"/>
            <w:hideMark/>
          </w:tcPr>
          <w:p w:rsidR="001B4A97" w:rsidRDefault="001B4A97" w:rsidP="00C36626">
            <w:pPr>
              <w:pStyle w:val="ListParagraph"/>
              <w:numPr>
                <w:ilvl w:val="0"/>
                <w:numId w:val="3"/>
              </w:numPr>
              <w:spacing w:after="0"/>
              <w:ind w:left="321" w:hanging="142"/>
              <w:rPr>
                <w:rFonts w:eastAsia="Times New Roman" w:cs="Calibri"/>
                <w:color w:val="000000"/>
                <w:sz w:val="20"/>
                <w:szCs w:val="20"/>
              </w:rPr>
            </w:pPr>
            <w:r>
              <w:rPr>
                <w:rFonts w:eastAsia="Times New Roman" w:cs="Calibri"/>
                <w:color w:val="000000"/>
                <w:sz w:val="20"/>
                <w:szCs w:val="20"/>
              </w:rPr>
              <w:t>Based on the informational entropy calculation. It comes from the fact that the entropy metric is low when all balances are equal, and high, when they are very different.</w:t>
            </w:r>
          </w:p>
          <w:p w:rsidR="001B4A97" w:rsidRDefault="001B4A97" w:rsidP="00C36626">
            <w:pPr>
              <w:pStyle w:val="ListParagraph"/>
              <w:numPr>
                <w:ilvl w:val="0"/>
                <w:numId w:val="3"/>
              </w:numPr>
              <w:spacing w:after="0"/>
              <w:ind w:left="321" w:hanging="142"/>
              <w:rPr>
                <w:rFonts w:eastAsia="Times New Roman" w:cs="Calibri"/>
                <w:color w:val="000000"/>
                <w:sz w:val="20"/>
                <w:szCs w:val="20"/>
              </w:rPr>
            </w:pPr>
            <w:r>
              <w:rPr>
                <w:rFonts w:eastAsia="Times New Roman" w:cs="Calibri"/>
                <w:color w:val="000000"/>
                <w:sz w:val="20"/>
                <w:szCs w:val="20"/>
              </w:rPr>
              <w:t>Well reflect the contribution of intra-group gaps and inter-group gaps to the total gap, and is complementary to the Gini coefficient.</w:t>
            </w:r>
          </w:p>
        </w:tc>
        <w:tc>
          <w:tcPr>
            <w:tcW w:w="2410" w:type="dxa"/>
            <w:tcBorders>
              <w:top w:val="nil"/>
              <w:left w:val="nil"/>
              <w:bottom w:val="nil"/>
              <w:right w:val="nil"/>
            </w:tcBorders>
            <w:shd w:val="clear" w:color="auto" w:fill="E7E6E6"/>
            <w:noWrap/>
          </w:tcPr>
          <w:p w:rsidR="001B4A97" w:rsidRDefault="001B4A97">
            <w:pPr>
              <w:spacing w:after="0"/>
              <w:rPr>
                <w:rFonts w:eastAsia="Times New Roman" w:cs="Calibri"/>
                <w:color w:val="000000"/>
                <w:sz w:val="20"/>
                <w:szCs w:val="20"/>
              </w:rPr>
            </w:pPr>
          </w:p>
        </w:tc>
      </w:tr>
      <w:tr w:rsidR="001B4A97" w:rsidTr="001B4A97">
        <w:trPr>
          <w:trHeight w:val="699"/>
        </w:trPr>
        <w:tc>
          <w:tcPr>
            <w:tcW w:w="456" w:type="dxa"/>
            <w:tcBorders>
              <w:top w:val="nil"/>
              <w:left w:val="nil"/>
              <w:bottom w:val="nil"/>
              <w:right w:val="nil"/>
            </w:tcBorders>
            <w:noWrap/>
            <w:hideMark/>
          </w:tcPr>
          <w:p w:rsidR="001B4A97" w:rsidRDefault="001B4A97">
            <w:pPr>
              <w:spacing w:after="0"/>
              <w:jc w:val="center"/>
              <w:rPr>
                <w:rFonts w:eastAsia="Times New Roman" w:cs="Calibri"/>
                <w:color w:val="000000"/>
                <w:sz w:val="20"/>
                <w:szCs w:val="20"/>
              </w:rPr>
            </w:pPr>
            <w:r>
              <w:rPr>
                <w:rFonts w:eastAsia="Times New Roman" w:cs="Calibri"/>
                <w:color w:val="000000"/>
                <w:sz w:val="20"/>
                <w:szCs w:val="20"/>
              </w:rPr>
              <w:t>3.</w:t>
            </w:r>
          </w:p>
        </w:tc>
        <w:tc>
          <w:tcPr>
            <w:tcW w:w="1808" w:type="dxa"/>
            <w:tcBorders>
              <w:top w:val="nil"/>
              <w:left w:val="nil"/>
              <w:bottom w:val="nil"/>
              <w:right w:val="nil"/>
            </w:tcBorders>
            <w:noWrap/>
            <w:hideMark/>
          </w:tcPr>
          <w:p w:rsidR="001B4A97" w:rsidRDefault="001B4A97">
            <w:pPr>
              <w:spacing w:after="0"/>
              <w:rPr>
                <w:rFonts w:eastAsia="Times New Roman" w:cs="Calibri"/>
                <w:color w:val="000000"/>
                <w:sz w:val="20"/>
                <w:szCs w:val="20"/>
              </w:rPr>
            </w:pPr>
            <w:r>
              <w:rPr>
                <w:rFonts w:eastAsia="Times New Roman" w:cs="Calibri"/>
                <w:color w:val="000000"/>
                <w:sz w:val="20"/>
                <w:szCs w:val="20"/>
              </w:rPr>
              <w:t>Concentration Index</w:t>
            </w:r>
          </w:p>
        </w:tc>
        <w:tc>
          <w:tcPr>
            <w:tcW w:w="2552" w:type="dxa"/>
            <w:tcBorders>
              <w:top w:val="nil"/>
              <w:left w:val="nil"/>
              <w:bottom w:val="nil"/>
              <w:right w:val="nil"/>
            </w:tcBorders>
          </w:tcPr>
          <w:p w:rsidR="001B4A97" w:rsidRDefault="001B4A97">
            <w:pPr>
              <w:spacing w:after="0"/>
              <w:rPr>
                <w:rFonts w:eastAsia="Times New Roman" w:cs="Calibri"/>
                <w:sz w:val="20"/>
                <w:szCs w:val="20"/>
              </w:rPr>
            </w:pPr>
            <w:r>
              <w:rPr>
                <w:rFonts w:eastAsia="Times New Roman" w:cs="Calibri"/>
                <w:sz w:val="20"/>
                <w:szCs w:val="20"/>
              </w:rPr>
              <w:t>A relative measure of inequality that indicates the extent to which a health indicator is concentrated among the disadvantaged or the advantaged.</w:t>
            </w:r>
          </w:p>
          <w:p w:rsidR="001B4A97" w:rsidRDefault="001B4A97">
            <w:pPr>
              <w:spacing w:after="0"/>
              <w:rPr>
                <w:rFonts w:eastAsia="Times New Roman" w:cs="Calibri"/>
                <w:sz w:val="20"/>
                <w:szCs w:val="20"/>
              </w:rPr>
            </w:pPr>
          </w:p>
          <w:p w:rsidR="001B4A97" w:rsidRDefault="001B4A97">
            <w:pPr>
              <w:spacing w:after="0"/>
              <w:rPr>
                <w:rFonts w:eastAsia="Times New Roman" w:cs="Calibri"/>
                <w:sz w:val="20"/>
                <w:szCs w:val="20"/>
              </w:rPr>
            </w:pPr>
            <w:r>
              <w:rPr>
                <w:rFonts w:eastAsia="Times New Roman" w:cs="Calibri"/>
                <w:sz w:val="20"/>
                <w:szCs w:val="20"/>
              </w:rPr>
              <w:t xml:space="preserve">Given that a population is ranked by increasing socioeconomic status:                                                            </w:t>
            </w:r>
          </w:p>
          <w:p w:rsidR="001B4A97" w:rsidRDefault="001B4A97" w:rsidP="00C36626">
            <w:pPr>
              <w:pStyle w:val="ListParagraph"/>
              <w:numPr>
                <w:ilvl w:val="0"/>
                <w:numId w:val="4"/>
              </w:numPr>
              <w:spacing w:after="0"/>
              <w:rPr>
                <w:rFonts w:eastAsia="Times New Roman" w:cs="Calibri"/>
                <w:sz w:val="20"/>
                <w:szCs w:val="20"/>
              </w:rPr>
            </w:pPr>
            <w:r>
              <w:rPr>
                <w:rFonts w:eastAsia="Times New Roman" w:cs="Calibri"/>
                <w:sz w:val="20"/>
                <w:szCs w:val="20"/>
              </w:rPr>
              <w:t xml:space="preserve">Concentration index has a negative value when the health indicator is concentrated among the disadvantaged.                                     </w:t>
            </w:r>
          </w:p>
          <w:p w:rsidR="001B4A97" w:rsidRDefault="001B4A97" w:rsidP="00C36626">
            <w:pPr>
              <w:pStyle w:val="ListParagraph"/>
              <w:numPr>
                <w:ilvl w:val="0"/>
                <w:numId w:val="4"/>
              </w:numPr>
              <w:spacing w:after="0"/>
              <w:rPr>
                <w:rFonts w:eastAsia="Times New Roman" w:cs="Calibri"/>
                <w:sz w:val="20"/>
                <w:szCs w:val="20"/>
              </w:rPr>
            </w:pPr>
            <w:r>
              <w:rPr>
                <w:rFonts w:eastAsia="Times New Roman" w:cs="Calibri"/>
                <w:sz w:val="20"/>
                <w:szCs w:val="20"/>
              </w:rPr>
              <w:t xml:space="preserve">Concentration index has a positive value when the health indicator is </w:t>
            </w:r>
            <w:r>
              <w:rPr>
                <w:rFonts w:eastAsia="Times New Roman" w:cs="Calibri"/>
                <w:sz w:val="20"/>
                <w:szCs w:val="20"/>
              </w:rPr>
              <w:lastRenderedPageBreak/>
              <w:t xml:space="preserve">concentrated among the advantaged.                                              </w:t>
            </w:r>
          </w:p>
          <w:p w:rsidR="001B4A97" w:rsidRDefault="001B4A97" w:rsidP="00C36626">
            <w:pPr>
              <w:pStyle w:val="ListParagraph"/>
              <w:numPr>
                <w:ilvl w:val="0"/>
                <w:numId w:val="4"/>
              </w:numPr>
              <w:spacing w:after="0"/>
              <w:rPr>
                <w:rFonts w:eastAsia="Times New Roman" w:cs="Calibri"/>
                <w:sz w:val="20"/>
                <w:szCs w:val="20"/>
              </w:rPr>
            </w:pPr>
            <w:r>
              <w:rPr>
                <w:rFonts w:eastAsia="Times New Roman" w:cs="Calibri"/>
                <w:sz w:val="20"/>
                <w:szCs w:val="20"/>
              </w:rPr>
              <w:t>When there is no inequality the concentration index equals 0.</w:t>
            </w:r>
          </w:p>
          <w:p w:rsidR="001B4A97" w:rsidRDefault="001B4A97">
            <w:pPr>
              <w:spacing w:after="0"/>
              <w:rPr>
                <w:rFonts w:eastAsia="Times New Roman" w:cs="Calibri"/>
                <w:sz w:val="20"/>
                <w:szCs w:val="20"/>
              </w:rPr>
            </w:pPr>
          </w:p>
        </w:tc>
        <w:tc>
          <w:tcPr>
            <w:tcW w:w="2551" w:type="dxa"/>
            <w:tcBorders>
              <w:top w:val="nil"/>
              <w:left w:val="nil"/>
              <w:bottom w:val="nil"/>
              <w:right w:val="nil"/>
            </w:tcBorders>
            <w:noWrap/>
          </w:tcPr>
          <w:p w:rsidR="001B4A97" w:rsidRDefault="001B4A97">
            <w:pPr>
              <w:spacing w:after="0"/>
              <w:rPr>
                <w:rFonts w:eastAsia="Times New Roman" w:cs="Calibri"/>
                <w:sz w:val="20"/>
                <w:szCs w:val="20"/>
              </w:rPr>
            </w:pPr>
          </w:p>
        </w:tc>
        <w:tc>
          <w:tcPr>
            <w:tcW w:w="2410" w:type="dxa"/>
            <w:tcBorders>
              <w:top w:val="nil"/>
              <w:left w:val="nil"/>
              <w:bottom w:val="nil"/>
              <w:right w:val="nil"/>
            </w:tcBorders>
            <w:hideMark/>
          </w:tcPr>
          <w:p w:rsidR="001B4A97" w:rsidRDefault="001B4A97" w:rsidP="00C36626">
            <w:pPr>
              <w:pStyle w:val="ListParagraph"/>
              <w:numPr>
                <w:ilvl w:val="0"/>
                <w:numId w:val="5"/>
              </w:numPr>
              <w:spacing w:after="0"/>
              <w:ind w:left="322" w:hanging="141"/>
              <w:rPr>
                <w:rFonts w:eastAsia="Times New Roman" w:cs="Calibri"/>
                <w:color w:val="000000"/>
                <w:sz w:val="20"/>
                <w:szCs w:val="20"/>
              </w:rPr>
            </w:pPr>
            <w:r>
              <w:rPr>
                <w:rFonts w:eastAsia="Times New Roman" w:cs="Calibri"/>
                <w:color w:val="000000"/>
                <w:sz w:val="20"/>
                <w:szCs w:val="20"/>
              </w:rPr>
              <w:t xml:space="preserve">The primary limitation of Concentration Index is that it can only be applied if a strict ranking socio-economic variable, like income, is available. </w:t>
            </w:r>
          </w:p>
          <w:p w:rsidR="001B4A97" w:rsidRDefault="001B4A97" w:rsidP="00C36626">
            <w:pPr>
              <w:pStyle w:val="ListParagraph"/>
              <w:numPr>
                <w:ilvl w:val="0"/>
                <w:numId w:val="5"/>
              </w:numPr>
              <w:spacing w:after="0"/>
              <w:ind w:left="322" w:hanging="141"/>
              <w:rPr>
                <w:rFonts w:eastAsia="Times New Roman" w:cs="Calibri"/>
                <w:color w:val="000000"/>
                <w:sz w:val="20"/>
                <w:szCs w:val="20"/>
              </w:rPr>
            </w:pPr>
            <w:r>
              <w:rPr>
                <w:rFonts w:eastAsia="Times New Roman" w:cs="Calibri"/>
                <w:color w:val="000000"/>
                <w:sz w:val="20"/>
                <w:szCs w:val="20"/>
              </w:rPr>
              <w:t>Missing income data can bias the value of Concentration Index.</w:t>
            </w:r>
          </w:p>
        </w:tc>
      </w:tr>
      <w:tr w:rsidR="001B4A97" w:rsidTr="001B4A97">
        <w:trPr>
          <w:trHeight w:val="3119"/>
        </w:trPr>
        <w:tc>
          <w:tcPr>
            <w:tcW w:w="456" w:type="dxa"/>
            <w:tcBorders>
              <w:top w:val="nil"/>
              <w:left w:val="nil"/>
              <w:bottom w:val="nil"/>
              <w:right w:val="nil"/>
            </w:tcBorders>
            <w:shd w:val="clear" w:color="auto" w:fill="E7E6E6"/>
            <w:noWrap/>
            <w:hideMark/>
          </w:tcPr>
          <w:p w:rsidR="001B4A97" w:rsidRDefault="001B4A97">
            <w:pPr>
              <w:spacing w:after="0"/>
              <w:jc w:val="center"/>
              <w:rPr>
                <w:rFonts w:eastAsia="Times New Roman" w:cs="Calibri"/>
                <w:color w:val="000000"/>
                <w:sz w:val="20"/>
                <w:szCs w:val="20"/>
              </w:rPr>
            </w:pPr>
            <w:r>
              <w:rPr>
                <w:rFonts w:eastAsia="Times New Roman" w:cs="Calibri"/>
                <w:color w:val="000000"/>
                <w:sz w:val="20"/>
                <w:szCs w:val="20"/>
              </w:rPr>
              <w:lastRenderedPageBreak/>
              <w:t>4.</w:t>
            </w:r>
          </w:p>
        </w:tc>
        <w:tc>
          <w:tcPr>
            <w:tcW w:w="1808" w:type="dxa"/>
            <w:tcBorders>
              <w:top w:val="nil"/>
              <w:left w:val="nil"/>
              <w:bottom w:val="nil"/>
              <w:right w:val="nil"/>
            </w:tcBorders>
            <w:shd w:val="clear" w:color="auto" w:fill="E7E6E6"/>
            <w:noWrap/>
            <w:hideMark/>
          </w:tcPr>
          <w:p w:rsidR="001B4A97" w:rsidRDefault="001B4A97">
            <w:pPr>
              <w:spacing w:after="0"/>
              <w:rPr>
                <w:rFonts w:eastAsia="Times New Roman" w:cs="Calibri"/>
                <w:color w:val="000000"/>
                <w:sz w:val="20"/>
                <w:szCs w:val="20"/>
              </w:rPr>
            </w:pPr>
            <w:r>
              <w:rPr>
                <w:rFonts w:eastAsia="Times New Roman" w:cs="Calibri"/>
                <w:color w:val="000000"/>
                <w:sz w:val="20"/>
                <w:szCs w:val="20"/>
              </w:rPr>
              <w:t>Robin-Hood Index</w:t>
            </w:r>
          </w:p>
        </w:tc>
        <w:tc>
          <w:tcPr>
            <w:tcW w:w="2552" w:type="dxa"/>
            <w:tcBorders>
              <w:top w:val="nil"/>
              <w:left w:val="nil"/>
              <w:bottom w:val="nil"/>
              <w:right w:val="nil"/>
            </w:tcBorders>
            <w:shd w:val="clear" w:color="auto" w:fill="E7E6E6"/>
          </w:tcPr>
          <w:p w:rsidR="001B4A97" w:rsidRDefault="001B4A97">
            <w:pPr>
              <w:spacing w:after="0"/>
              <w:rPr>
                <w:rFonts w:eastAsia="Times New Roman" w:cs="Calibri"/>
                <w:sz w:val="20"/>
                <w:szCs w:val="20"/>
              </w:rPr>
            </w:pPr>
            <w:r>
              <w:rPr>
                <w:rFonts w:eastAsia="Times New Roman" w:cs="Calibri"/>
                <w:sz w:val="20"/>
                <w:szCs w:val="20"/>
              </w:rPr>
              <w:t>The portion of the total community income that would have to be redistributed (taken from the richer half of the population and given to the poorer half) for the society to live in perfect equality.                           Measure of income inequality ranging from 0 (complete equality) to 100 (complete inequality).</w:t>
            </w:r>
          </w:p>
          <w:p w:rsidR="001B4A97" w:rsidRDefault="001B4A97">
            <w:pPr>
              <w:spacing w:after="0"/>
              <w:rPr>
                <w:rFonts w:eastAsia="Times New Roman" w:cs="Calibri"/>
                <w:sz w:val="20"/>
                <w:szCs w:val="20"/>
              </w:rPr>
            </w:pPr>
          </w:p>
          <w:p w:rsidR="001B4A97" w:rsidRDefault="001B4A97">
            <w:pPr>
              <w:spacing w:after="0"/>
              <w:rPr>
                <w:rFonts w:eastAsia="Times New Roman" w:cs="Calibri"/>
                <w:sz w:val="20"/>
                <w:szCs w:val="20"/>
              </w:rPr>
            </w:pPr>
          </w:p>
        </w:tc>
        <w:tc>
          <w:tcPr>
            <w:tcW w:w="2551" w:type="dxa"/>
            <w:tcBorders>
              <w:top w:val="nil"/>
              <w:left w:val="nil"/>
              <w:bottom w:val="nil"/>
              <w:right w:val="nil"/>
            </w:tcBorders>
            <w:shd w:val="clear" w:color="auto" w:fill="E7E6E6"/>
            <w:hideMark/>
          </w:tcPr>
          <w:p w:rsidR="001B4A97" w:rsidRDefault="001B4A97">
            <w:pPr>
              <w:spacing w:after="0"/>
              <w:rPr>
                <w:rFonts w:eastAsia="Times New Roman" w:cs="Calibri"/>
                <w:color w:val="000000"/>
                <w:sz w:val="20"/>
                <w:szCs w:val="20"/>
              </w:rPr>
            </w:pPr>
            <w:r>
              <w:rPr>
                <w:rFonts w:eastAsia="Times New Roman" w:cs="Calibri"/>
                <w:color w:val="000000"/>
                <w:sz w:val="20"/>
                <w:szCs w:val="20"/>
              </w:rPr>
              <w:t>Result from Robin Hood index is easier to understand compare with Lorenz curve and Gini coefficient outcome.</w:t>
            </w:r>
          </w:p>
        </w:tc>
        <w:tc>
          <w:tcPr>
            <w:tcW w:w="2410" w:type="dxa"/>
            <w:tcBorders>
              <w:top w:val="nil"/>
              <w:left w:val="nil"/>
              <w:bottom w:val="nil"/>
              <w:right w:val="nil"/>
            </w:tcBorders>
            <w:shd w:val="clear" w:color="auto" w:fill="E7E6E6"/>
            <w:noWrap/>
          </w:tcPr>
          <w:p w:rsidR="001B4A97" w:rsidRDefault="001B4A97">
            <w:pPr>
              <w:spacing w:after="0"/>
              <w:rPr>
                <w:rFonts w:eastAsia="Times New Roman" w:cs="Calibri"/>
                <w:color w:val="000000"/>
                <w:sz w:val="20"/>
                <w:szCs w:val="20"/>
              </w:rPr>
            </w:pPr>
          </w:p>
        </w:tc>
      </w:tr>
      <w:tr w:rsidR="001B4A97" w:rsidTr="001B4A97">
        <w:trPr>
          <w:trHeight w:val="2331"/>
        </w:trPr>
        <w:tc>
          <w:tcPr>
            <w:tcW w:w="456" w:type="dxa"/>
            <w:tcBorders>
              <w:top w:val="nil"/>
              <w:left w:val="nil"/>
              <w:bottom w:val="nil"/>
              <w:right w:val="nil"/>
            </w:tcBorders>
            <w:noWrap/>
            <w:hideMark/>
          </w:tcPr>
          <w:p w:rsidR="001B4A97" w:rsidRDefault="001B4A97">
            <w:pPr>
              <w:spacing w:after="0"/>
              <w:jc w:val="center"/>
              <w:rPr>
                <w:rFonts w:eastAsia="Times New Roman" w:cs="Calibri"/>
                <w:color w:val="000000"/>
                <w:sz w:val="20"/>
                <w:szCs w:val="20"/>
              </w:rPr>
            </w:pPr>
            <w:r>
              <w:rPr>
                <w:rFonts w:eastAsia="Times New Roman" w:cs="Calibri"/>
                <w:color w:val="000000"/>
                <w:sz w:val="20"/>
                <w:szCs w:val="20"/>
              </w:rPr>
              <w:t>5.</w:t>
            </w:r>
          </w:p>
        </w:tc>
        <w:tc>
          <w:tcPr>
            <w:tcW w:w="1808" w:type="dxa"/>
            <w:tcBorders>
              <w:top w:val="nil"/>
              <w:left w:val="nil"/>
              <w:bottom w:val="nil"/>
              <w:right w:val="nil"/>
            </w:tcBorders>
            <w:hideMark/>
          </w:tcPr>
          <w:p w:rsidR="001B4A97" w:rsidRDefault="001B4A97">
            <w:pPr>
              <w:spacing w:after="0"/>
              <w:rPr>
                <w:rFonts w:eastAsia="Times New Roman" w:cs="Calibri"/>
                <w:color w:val="000000"/>
                <w:sz w:val="20"/>
                <w:szCs w:val="20"/>
              </w:rPr>
            </w:pPr>
            <w:r>
              <w:rPr>
                <w:rFonts w:eastAsia="Times New Roman" w:cs="Calibri"/>
                <w:color w:val="000000"/>
                <w:sz w:val="20"/>
                <w:szCs w:val="20"/>
              </w:rPr>
              <w:t>Spatial autocorrelation analysis</w:t>
            </w:r>
          </w:p>
        </w:tc>
        <w:tc>
          <w:tcPr>
            <w:tcW w:w="2552" w:type="dxa"/>
            <w:tcBorders>
              <w:top w:val="nil"/>
              <w:left w:val="nil"/>
              <w:bottom w:val="nil"/>
              <w:right w:val="nil"/>
            </w:tcBorders>
            <w:hideMark/>
          </w:tcPr>
          <w:p w:rsidR="001B4A97" w:rsidRDefault="001B4A97">
            <w:pPr>
              <w:spacing w:after="0"/>
              <w:rPr>
                <w:rFonts w:eastAsia="Times New Roman" w:cs="Calibri"/>
                <w:sz w:val="20"/>
                <w:szCs w:val="20"/>
              </w:rPr>
            </w:pPr>
            <w:r>
              <w:rPr>
                <w:rFonts w:eastAsia="Times New Roman" w:cs="Calibri"/>
                <w:sz w:val="20"/>
                <w:szCs w:val="20"/>
              </w:rPr>
              <w:t>Used geographical mapping to indicate health facilities in studied population.</w:t>
            </w:r>
          </w:p>
        </w:tc>
        <w:tc>
          <w:tcPr>
            <w:tcW w:w="2551" w:type="dxa"/>
            <w:tcBorders>
              <w:top w:val="nil"/>
              <w:left w:val="nil"/>
              <w:bottom w:val="nil"/>
              <w:right w:val="nil"/>
            </w:tcBorders>
            <w:noWrap/>
          </w:tcPr>
          <w:p w:rsidR="001B4A97" w:rsidRDefault="001B4A97">
            <w:pPr>
              <w:spacing w:after="0"/>
              <w:rPr>
                <w:rFonts w:eastAsia="Times New Roman" w:cs="Calibri"/>
                <w:sz w:val="20"/>
                <w:szCs w:val="20"/>
              </w:rPr>
            </w:pPr>
          </w:p>
        </w:tc>
        <w:tc>
          <w:tcPr>
            <w:tcW w:w="2410" w:type="dxa"/>
            <w:tcBorders>
              <w:top w:val="nil"/>
              <w:left w:val="nil"/>
              <w:bottom w:val="nil"/>
              <w:right w:val="nil"/>
            </w:tcBorders>
          </w:tcPr>
          <w:p w:rsidR="001B4A97" w:rsidRDefault="001B4A97" w:rsidP="00C36626">
            <w:pPr>
              <w:pStyle w:val="ListParagraph"/>
              <w:numPr>
                <w:ilvl w:val="0"/>
                <w:numId w:val="6"/>
              </w:numPr>
              <w:spacing w:after="0"/>
              <w:ind w:left="322" w:hanging="141"/>
              <w:rPr>
                <w:rFonts w:eastAsia="Times New Roman" w:cs="Calibri"/>
                <w:color w:val="000000"/>
                <w:sz w:val="20"/>
                <w:szCs w:val="20"/>
              </w:rPr>
            </w:pPr>
            <w:r>
              <w:rPr>
                <w:rFonts w:eastAsia="Times New Roman" w:cs="Calibri"/>
                <w:color w:val="000000"/>
                <w:sz w:val="20"/>
                <w:szCs w:val="20"/>
              </w:rPr>
              <w:t>Difficult to determine exact longitude and latitude location of health facilities or physician to be used on map.</w:t>
            </w:r>
          </w:p>
          <w:p w:rsidR="001B4A97" w:rsidRDefault="001B4A97" w:rsidP="00C36626">
            <w:pPr>
              <w:pStyle w:val="ListParagraph"/>
              <w:numPr>
                <w:ilvl w:val="0"/>
                <w:numId w:val="6"/>
              </w:numPr>
              <w:spacing w:after="0"/>
              <w:ind w:left="322" w:hanging="141"/>
              <w:rPr>
                <w:rFonts w:eastAsia="Times New Roman" w:cs="Calibri"/>
                <w:color w:val="000000"/>
                <w:sz w:val="20"/>
                <w:szCs w:val="20"/>
              </w:rPr>
            </w:pPr>
            <w:r>
              <w:rPr>
                <w:rFonts w:eastAsia="Times New Roman" w:cs="Calibri"/>
                <w:color w:val="000000"/>
                <w:sz w:val="20"/>
                <w:szCs w:val="20"/>
              </w:rPr>
              <w:t>Need to use complex, costly device to identify exact longitude and latitude of location.</w:t>
            </w:r>
          </w:p>
          <w:p w:rsidR="001B4A97" w:rsidRDefault="001B4A97">
            <w:pPr>
              <w:pStyle w:val="ListParagraph"/>
              <w:spacing w:after="0"/>
              <w:ind w:left="322"/>
              <w:rPr>
                <w:rFonts w:eastAsia="Times New Roman" w:cs="Calibri"/>
                <w:color w:val="000000"/>
                <w:sz w:val="20"/>
                <w:szCs w:val="20"/>
              </w:rPr>
            </w:pPr>
          </w:p>
        </w:tc>
      </w:tr>
      <w:tr w:rsidR="001B4A97" w:rsidTr="001B4A97">
        <w:trPr>
          <w:trHeight w:val="1824"/>
        </w:trPr>
        <w:tc>
          <w:tcPr>
            <w:tcW w:w="456" w:type="dxa"/>
            <w:tcBorders>
              <w:top w:val="nil"/>
              <w:left w:val="nil"/>
              <w:bottom w:val="nil"/>
              <w:right w:val="nil"/>
            </w:tcBorders>
            <w:shd w:val="clear" w:color="auto" w:fill="E7E6E6"/>
            <w:noWrap/>
            <w:hideMark/>
          </w:tcPr>
          <w:p w:rsidR="001B4A97" w:rsidRDefault="001B4A97">
            <w:pPr>
              <w:spacing w:after="0"/>
              <w:jc w:val="center"/>
              <w:rPr>
                <w:rFonts w:eastAsia="Times New Roman" w:cs="Calibri"/>
                <w:color w:val="000000"/>
                <w:sz w:val="20"/>
                <w:szCs w:val="20"/>
              </w:rPr>
            </w:pPr>
            <w:r>
              <w:rPr>
                <w:rFonts w:eastAsia="Times New Roman" w:cs="Calibri"/>
                <w:color w:val="000000"/>
                <w:sz w:val="20"/>
                <w:szCs w:val="20"/>
              </w:rPr>
              <w:t>6.</w:t>
            </w:r>
          </w:p>
        </w:tc>
        <w:tc>
          <w:tcPr>
            <w:tcW w:w="1808" w:type="dxa"/>
            <w:tcBorders>
              <w:top w:val="nil"/>
              <w:left w:val="nil"/>
              <w:bottom w:val="nil"/>
              <w:right w:val="nil"/>
            </w:tcBorders>
            <w:shd w:val="clear" w:color="auto" w:fill="E7E6E6"/>
            <w:hideMark/>
          </w:tcPr>
          <w:p w:rsidR="001B4A97" w:rsidRDefault="001B4A97">
            <w:pPr>
              <w:spacing w:after="0"/>
              <w:rPr>
                <w:rFonts w:eastAsia="Times New Roman" w:cs="Calibri"/>
                <w:color w:val="000000"/>
                <w:sz w:val="20"/>
                <w:szCs w:val="20"/>
              </w:rPr>
            </w:pPr>
            <w:r>
              <w:rPr>
                <w:rFonts w:eastAsia="Times New Roman" w:cs="Calibri"/>
                <w:color w:val="000000"/>
                <w:sz w:val="20"/>
                <w:szCs w:val="20"/>
              </w:rPr>
              <w:t>Workload Indicator of Staffing Need (WISN) method</w:t>
            </w:r>
          </w:p>
        </w:tc>
        <w:tc>
          <w:tcPr>
            <w:tcW w:w="2552" w:type="dxa"/>
            <w:tcBorders>
              <w:top w:val="nil"/>
              <w:left w:val="nil"/>
              <w:bottom w:val="nil"/>
              <w:right w:val="nil"/>
            </w:tcBorders>
            <w:shd w:val="clear" w:color="auto" w:fill="E7E6E6"/>
            <w:hideMark/>
          </w:tcPr>
          <w:p w:rsidR="001B4A97" w:rsidRDefault="001B4A97">
            <w:pPr>
              <w:spacing w:after="0"/>
              <w:rPr>
                <w:rFonts w:eastAsia="Times New Roman" w:cs="Calibri"/>
                <w:sz w:val="20"/>
                <w:szCs w:val="20"/>
              </w:rPr>
            </w:pPr>
            <w:r>
              <w:rPr>
                <w:rFonts w:eastAsia="Times New Roman" w:cs="Calibri"/>
                <w:sz w:val="20"/>
                <w:szCs w:val="20"/>
              </w:rPr>
              <w:t>Based on a health worker's workload, with activity (time) standards applied for each workload component.</w:t>
            </w:r>
          </w:p>
        </w:tc>
        <w:tc>
          <w:tcPr>
            <w:tcW w:w="2551" w:type="dxa"/>
            <w:tcBorders>
              <w:top w:val="nil"/>
              <w:left w:val="nil"/>
              <w:bottom w:val="nil"/>
              <w:right w:val="nil"/>
            </w:tcBorders>
            <w:shd w:val="clear" w:color="auto" w:fill="E7E6E6"/>
            <w:hideMark/>
          </w:tcPr>
          <w:p w:rsidR="001B4A97" w:rsidRDefault="001B4A97">
            <w:pPr>
              <w:spacing w:after="0"/>
              <w:rPr>
                <w:rFonts w:eastAsia="Times New Roman" w:cs="Calibri"/>
                <w:color w:val="000000"/>
                <w:sz w:val="20"/>
                <w:szCs w:val="20"/>
              </w:rPr>
            </w:pPr>
            <w:r>
              <w:rPr>
                <w:rFonts w:eastAsia="Times New Roman" w:cs="Calibri"/>
                <w:color w:val="000000"/>
                <w:sz w:val="20"/>
                <w:szCs w:val="20"/>
              </w:rPr>
              <w:t>Traditional ways to determine staffing requirements to set:</w:t>
            </w:r>
          </w:p>
          <w:p w:rsidR="001B4A97" w:rsidRDefault="001B4A97">
            <w:pPr>
              <w:spacing w:after="0"/>
              <w:rPr>
                <w:rFonts w:eastAsia="Times New Roman" w:cs="Calibri"/>
                <w:color w:val="000000"/>
                <w:sz w:val="20"/>
                <w:szCs w:val="20"/>
              </w:rPr>
            </w:pPr>
            <w:r>
              <w:rPr>
                <w:rFonts w:eastAsia="Times New Roman" w:cs="Calibri"/>
                <w:color w:val="000000"/>
                <w:sz w:val="20"/>
                <w:szCs w:val="20"/>
              </w:rPr>
              <w:t>(1) Population to staff ratio, (2) Facility based staffing standards.</w:t>
            </w:r>
          </w:p>
        </w:tc>
        <w:tc>
          <w:tcPr>
            <w:tcW w:w="2410" w:type="dxa"/>
            <w:tcBorders>
              <w:top w:val="nil"/>
              <w:left w:val="nil"/>
              <w:bottom w:val="nil"/>
              <w:right w:val="nil"/>
            </w:tcBorders>
            <w:shd w:val="clear" w:color="auto" w:fill="E7E6E6"/>
            <w:hideMark/>
          </w:tcPr>
          <w:p w:rsidR="001B4A97" w:rsidRDefault="001B4A97" w:rsidP="00C36626">
            <w:pPr>
              <w:pStyle w:val="ListParagraph"/>
              <w:numPr>
                <w:ilvl w:val="0"/>
                <w:numId w:val="7"/>
              </w:numPr>
              <w:spacing w:after="0"/>
              <w:ind w:left="322" w:hanging="141"/>
              <w:rPr>
                <w:rFonts w:eastAsia="Times New Roman" w:cs="Calibri"/>
                <w:color w:val="000000"/>
                <w:sz w:val="20"/>
                <w:szCs w:val="20"/>
              </w:rPr>
            </w:pPr>
            <w:r>
              <w:rPr>
                <w:rFonts w:eastAsia="Times New Roman" w:cs="Calibri"/>
                <w:color w:val="000000"/>
                <w:sz w:val="20"/>
                <w:szCs w:val="20"/>
              </w:rPr>
              <w:t>Not considering both wide local variations in the demand for services.</w:t>
            </w:r>
          </w:p>
          <w:p w:rsidR="001B4A97" w:rsidRDefault="001B4A97" w:rsidP="00C36626">
            <w:pPr>
              <w:pStyle w:val="ListParagraph"/>
              <w:numPr>
                <w:ilvl w:val="0"/>
                <w:numId w:val="7"/>
              </w:numPr>
              <w:spacing w:after="0"/>
              <w:ind w:left="322" w:hanging="141"/>
              <w:rPr>
                <w:rFonts w:eastAsia="Times New Roman" w:cs="Calibri"/>
                <w:color w:val="000000"/>
                <w:sz w:val="20"/>
                <w:szCs w:val="20"/>
              </w:rPr>
            </w:pPr>
            <w:r>
              <w:rPr>
                <w:rFonts w:eastAsia="Times New Roman" w:cs="Calibri"/>
                <w:color w:val="000000"/>
                <w:sz w:val="20"/>
                <w:szCs w:val="20"/>
              </w:rPr>
              <w:t>Fail to work what health workers actually do.</w:t>
            </w:r>
          </w:p>
        </w:tc>
      </w:tr>
      <w:tr w:rsidR="001B4A97" w:rsidTr="001B4A97">
        <w:trPr>
          <w:trHeight w:val="2261"/>
        </w:trPr>
        <w:tc>
          <w:tcPr>
            <w:tcW w:w="456" w:type="dxa"/>
            <w:tcBorders>
              <w:top w:val="nil"/>
              <w:left w:val="nil"/>
              <w:bottom w:val="nil"/>
              <w:right w:val="nil"/>
            </w:tcBorders>
            <w:noWrap/>
            <w:hideMark/>
          </w:tcPr>
          <w:p w:rsidR="001B4A97" w:rsidRDefault="001B4A97">
            <w:pPr>
              <w:spacing w:after="0"/>
              <w:jc w:val="center"/>
              <w:rPr>
                <w:rFonts w:eastAsia="Times New Roman" w:cs="Calibri"/>
                <w:color w:val="000000"/>
                <w:sz w:val="20"/>
                <w:szCs w:val="20"/>
              </w:rPr>
            </w:pPr>
            <w:r>
              <w:rPr>
                <w:rFonts w:eastAsia="Times New Roman" w:cs="Calibri"/>
                <w:color w:val="000000"/>
                <w:sz w:val="20"/>
                <w:szCs w:val="20"/>
              </w:rPr>
              <w:t>7.</w:t>
            </w:r>
          </w:p>
        </w:tc>
        <w:tc>
          <w:tcPr>
            <w:tcW w:w="1808" w:type="dxa"/>
            <w:tcBorders>
              <w:top w:val="nil"/>
              <w:left w:val="nil"/>
              <w:bottom w:val="nil"/>
              <w:right w:val="nil"/>
            </w:tcBorders>
            <w:hideMark/>
          </w:tcPr>
          <w:p w:rsidR="001B4A97" w:rsidRDefault="001B4A97">
            <w:pPr>
              <w:spacing w:after="0"/>
              <w:rPr>
                <w:rFonts w:eastAsia="Times New Roman" w:cs="Calibri"/>
                <w:color w:val="000000"/>
                <w:sz w:val="20"/>
                <w:szCs w:val="20"/>
              </w:rPr>
            </w:pPr>
            <w:r>
              <w:rPr>
                <w:rFonts w:eastAsia="Times New Roman" w:cs="Calibri"/>
                <w:color w:val="000000"/>
                <w:sz w:val="20"/>
                <w:szCs w:val="20"/>
              </w:rPr>
              <w:t>Mixed integer linear programming</w:t>
            </w:r>
          </w:p>
        </w:tc>
        <w:tc>
          <w:tcPr>
            <w:tcW w:w="2552" w:type="dxa"/>
            <w:tcBorders>
              <w:top w:val="nil"/>
              <w:left w:val="nil"/>
              <w:bottom w:val="nil"/>
              <w:right w:val="nil"/>
            </w:tcBorders>
            <w:hideMark/>
          </w:tcPr>
          <w:p w:rsidR="001B4A97" w:rsidRDefault="001B4A97">
            <w:pPr>
              <w:spacing w:after="0"/>
              <w:rPr>
                <w:rFonts w:eastAsia="Times New Roman" w:cs="Calibri"/>
                <w:sz w:val="20"/>
                <w:szCs w:val="20"/>
              </w:rPr>
            </w:pPr>
            <w:r>
              <w:rPr>
                <w:rFonts w:eastAsia="Times New Roman" w:cs="Calibri"/>
                <w:sz w:val="20"/>
                <w:szCs w:val="20"/>
              </w:rPr>
              <w:t>Often used for system analysis and optimization as it presents a flexible and powerful method for solving large, complex problems such as the case with industrial symbiosis and process integration</w:t>
            </w:r>
          </w:p>
        </w:tc>
        <w:tc>
          <w:tcPr>
            <w:tcW w:w="2551" w:type="dxa"/>
            <w:tcBorders>
              <w:top w:val="nil"/>
              <w:left w:val="nil"/>
              <w:bottom w:val="nil"/>
              <w:right w:val="nil"/>
            </w:tcBorders>
            <w:hideMark/>
          </w:tcPr>
          <w:p w:rsidR="001B4A97" w:rsidRDefault="001B4A97" w:rsidP="00C36626">
            <w:pPr>
              <w:pStyle w:val="ListParagraph"/>
              <w:numPr>
                <w:ilvl w:val="0"/>
                <w:numId w:val="8"/>
              </w:numPr>
              <w:spacing w:after="0"/>
              <w:ind w:left="321" w:hanging="142"/>
              <w:rPr>
                <w:rFonts w:eastAsia="Times New Roman" w:cs="Calibri"/>
                <w:color w:val="000000"/>
                <w:sz w:val="20"/>
                <w:szCs w:val="20"/>
              </w:rPr>
            </w:pPr>
            <w:r>
              <w:rPr>
                <w:rFonts w:eastAsia="Times New Roman" w:cs="Calibri"/>
                <w:color w:val="000000"/>
                <w:sz w:val="20"/>
                <w:szCs w:val="20"/>
              </w:rPr>
              <w:t>Modifications of the mathematical solutions is possible.</w:t>
            </w:r>
          </w:p>
          <w:p w:rsidR="001B4A97" w:rsidRDefault="001B4A97" w:rsidP="00C36626">
            <w:pPr>
              <w:pStyle w:val="ListParagraph"/>
              <w:numPr>
                <w:ilvl w:val="0"/>
                <w:numId w:val="8"/>
              </w:numPr>
              <w:spacing w:after="0"/>
              <w:ind w:left="321" w:hanging="142"/>
              <w:rPr>
                <w:rFonts w:eastAsia="Times New Roman" w:cs="Calibri"/>
                <w:color w:val="000000"/>
                <w:sz w:val="20"/>
                <w:szCs w:val="20"/>
              </w:rPr>
            </w:pPr>
            <w:r>
              <w:rPr>
                <w:rFonts w:eastAsia="Times New Roman" w:cs="Calibri"/>
                <w:color w:val="000000"/>
                <w:sz w:val="20"/>
                <w:szCs w:val="20"/>
              </w:rPr>
              <w:t>Can show best use of manpower.</w:t>
            </w:r>
          </w:p>
        </w:tc>
        <w:tc>
          <w:tcPr>
            <w:tcW w:w="2410" w:type="dxa"/>
            <w:tcBorders>
              <w:top w:val="nil"/>
              <w:left w:val="nil"/>
              <w:bottom w:val="nil"/>
              <w:right w:val="nil"/>
            </w:tcBorders>
            <w:hideMark/>
          </w:tcPr>
          <w:p w:rsidR="001B4A97" w:rsidRDefault="001B4A97" w:rsidP="00C36626">
            <w:pPr>
              <w:pStyle w:val="ListParagraph"/>
              <w:numPr>
                <w:ilvl w:val="0"/>
                <w:numId w:val="9"/>
              </w:numPr>
              <w:spacing w:after="0"/>
              <w:ind w:left="322" w:hanging="141"/>
              <w:rPr>
                <w:rFonts w:eastAsia="Times New Roman" w:cs="Calibri"/>
                <w:color w:val="000000"/>
                <w:sz w:val="20"/>
                <w:szCs w:val="20"/>
              </w:rPr>
            </w:pPr>
            <w:r>
              <w:rPr>
                <w:rFonts w:eastAsia="Times New Roman" w:cs="Calibri"/>
                <w:color w:val="000000"/>
                <w:sz w:val="20"/>
                <w:szCs w:val="20"/>
              </w:rPr>
              <w:t>No guarantee of getting integer-valued solutions.</w:t>
            </w:r>
          </w:p>
          <w:p w:rsidR="001B4A97" w:rsidRDefault="001B4A97" w:rsidP="00C36626">
            <w:pPr>
              <w:pStyle w:val="ListParagraph"/>
              <w:numPr>
                <w:ilvl w:val="0"/>
                <w:numId w:val="9"/>
              </w:numPr>
              <w:spacing w:after="0"/>
              <w:ind w:left="322" w:hanging="141"/>
              <w:rPr>
                <w:rFonts w:eastAsia="Times New Roman" w:cs="Calibri"/>
                <w:color w:val="000000"/>
                <w:sz w:val="20"/>
                <w:szCs w:val="20"/>
              </w:rPr>
            </w:pPr>
            <w:r>
              <w:rPr>
                <w:rFonts w:eastAsia="Times New Roman" w:cs="Calibri"/>
                <w:color w:val="000000"/>
                <w:sz w:val="20"/>
                <w:szCs w:val="20"/>
              </w:rPr>
              <w:t>Uncertainty and time effects are not considered.</w:t>
            </w:r>
          </w:p>
          <w:p w:rsidR="001B4A97" w:rsidRDefault="001B4A97" w:rsidP="00C36626">
            <w:pPr>
              <w:pStyle w:val="ListParagraph"/>
              <w:numPr>
                <w:ilvl w:val="0"/>
                <w:numId w:val="9"/>
              </w:numPr>
              <w:spacing w:after="0"/>
              <w:ind w:left="322" w:hanging="141"/>
              <w:rPr>
                <w:rFonts w:eastAsia="Times New Roman" w:cs="Calibri"/>
                <w:color w:val="000000"/>
                <w:sz w:val="20"/>
                <w:szCs w:val="20"/>
              </w:rPr>
            </w:pPr>
            <w:r>
              <w:rPr>
                <w:rFonts w:eastAsia="Times New Roman" w:cs="Calibri"/>
                <w:color w:val="000000"/>
                <w:sz w:val="20"/>
                <w:szCs w:val="20"/>
              </w:rPr>
              <w:t>Large-scale problems cannot always be solved.</w:t>
            </w:r>
          </w:p>
        </w:tc>
      </w:tr>
      <w:tr w:rsidR="001B4A97" w:rsidTr="001B4A97">
        <w:trPr>
          <w:trHeight w:val="709"/>
        </w:trPr>
        <w:tc>
          <w:tcPr>
            <w:tcW w:w="456" w:type="dxa"/>
            <w:tcBorders>
              <w:top w:val="nil"/>
              <w:left w:val="nil"/>
              <w:bottom w:val="single" w:sz="4" w:space="0" w:color="auto"/>
              <w:right w:val="nil"/>
            </w:tcBorders>
            <w:shd w:val="clear" w:color="auto" w:fill="E7E6E6"/>
            <w:noWrap/>
            <w:hideMark/>
          </w:tcPr>
          <w:p w:rsidR="001B4A97" w:rsidRDefault="001B4A97">
            <w:pPr>
              <w:spacing w:after="0"/>
              <w:jc w:val="center"/>
              <w:rPr>
                <w:rFonts w:eastAsia="Times New Roman" w:cs="Calibri"/>
                <w:color w:val="000000"/>
                <w:sz w:val="20"/>
                <w:szCs w:val="20"/>
              </w:rPr>
            </w:pPr>
            <w:r>
              <w:rPr>
                <w:rFonts w:eastAsia="Times New Roman" w:cs="Calibri"/>
                <w:color w:val="000000"/>
                <w:sz w:val="20"/>
                <w:szCs w:val="20"/>
              </w:rPr>
              <w:lastRenderedPageBreak/>
              <w:t>8</w:t>
            </w:r>
          </w:p>
        </w:tc>
        <w:tc>
          <w:tcPr>
            <w:tcW w:w="1808" w:type="dxa"/>
            <w:tcBorders>
              <w:top w:val="nil"/>
              <w:left w:val="nil"/>
              <w:bottom w:val="single" w:sz="4" w:space="0" w:color="auto"/>
              <w:right w:val="nil"/>
            </w:tcBorders>
            <w:shd w:val="clear" w:color="auto" w:fill="E7E6E6"/>
            <w:hideMark/>
          </w:tcPr>
          <w:p w:rsidR="001B4A97" w:rsidRDefault="001B4A97">
            <w:pPr>
              <w:spacing w:after="0"/>
              <w:rPr>
                <w:rFonts w:eastAsia="Times New Roman" w:cs="Calibri"/>
                <w:color w:val="000000"/>
                <w:sz w:val="20"/>
                <w:szCs w:val="20"/>
              </w:rPr>
            </w:pPr>
            <w:r>
              <w:rPr>
                <w:rFonts w:eastAsia="Times New Roman" w:cs="Calibri"/>
                <w:color w:val="000000"/>
                <w:sz w:val="20"/>
                <w:szCs w:val="20"/>
              </w:rPr>
              <w:t>Cohort-component model</w:t>
            </w:r>
          </w:p>
        </w:tc>
        <w:tc>
          <w:tcPr>
            <w:tcW w:w="2552" w:type="dxa"/>
            <w:tcBorders>
              <w:top w:val="nil"/>
              <w:left w:val="nil"/>
              <w:bottom w:val="single" w:sz="4" w:space="0" w:color="auto"/>
              <w:right w:val="nil"/>
            </w:tcBorders>
            <w:shd w:val="clear" w:color="auto" w:fill="E7E6E6"/>
            <w:hideMark/>
          </w:tcPr>
          <w:p w:rsidR="001B4A97" w:rsidRDefault="001B4A97">
            <w:pPr>
              <w:spacing w:after="0"/>
              <w:rPr>
                <w:rFonts w:eastAsia="Times New Roman" w:cs="Calibri"/>
                <w:sz w:val="20"/>
                <w:szCs w:val="20"/>
              </w:rPr>
            </w:pPr>
            <w:r>
              <w:rPr>
                <w:rFonts w:eastAsia="Times New Roman" w:cs="Calibri"/>
                <w:sz w:val="20"/>
                <w:szCs w:val="20"/>
              </w:rPr>
              <w:t xml:space="preserve">The cohort component technique uses the components of demographic change to project population growth. </w:t>
            </w:r>
          </w:p>
        </w:tc>
        <w:tc>
          <w:tcPr>
            <w:tcW w:w="2551" w:type="dxa"/>
            <w:tcBorders>
              <w:top w:val="nil"/>
              <w:left w:val="nil"/>
              <w:bottom w:val="single" w:sz="4" w:space="0" w:color="auto"/>
              <w:right w:val="nil"/>
            </w:tcBorders>
            <w:shd w:val="clear" w:color="auto" w:fill="E7E6E6"/>
          </w:tcPr>
          <w:p w:rsidR="001B4A97" w:rsidRDefault="001B4A97" w:rsidP="00C36626">
            <w:pPr>
              <w:pStyle w:val="ListParagraph"/>
              <w:numPr>
                <w:ilvl w:val="0"/>
                <w:numId w:val="10"/>
              </w:numPr>
              <w:spacing w:after="0"/>
              <w:ind w:left="321" w:hanging="142"/>
              <w:rPr>
                <w:rFonts w:eastAsia="Times New Roman" w:cs="Calibri"/>
                <w:color w:val="000000"/>
                <w:sz w:val="20"/>
                <w:szCs w:val="20"/>
              </w:rPr>
            </w:pPr>
            <w:r>
              <w:rPr>
                <w:rFonts w:eastAsia="Times New Roman" w:cs="Calibri"/>
                <w:color w:val="000000"/>
                <w:sz w:val="20"/>
                <w:szCs w:val="20"/>
              </w:rPr>
              <w:t xml:space="preserve">The model follows the process of demographic change.  </w:t>
            </w:r>
          </w:p>
          <w:p w:rsidR="001B4A97" w:rsidRDefault="001B4A97" w:rsidP="00C36626">
            <w:pPr>
              <w:pStyle w:val="ListParagraph"/>
              <w:numPr>
                <w:ilvl w:val="0"/>
                <w:numId w:val="10"/>
              </w:numPr>
              <w:spacing w:after="0"/>
              <w:ind w:left="321" w:hanging="142"/>
              <w:rPr>
                <w:rFonts w:eastAsia="Times New Roman" w:cs="Calibri"/>
                <w:color w:val="000000"/>
                <w:sz w:val="20"/>
                <w:szCs w:val="20"/>
              </w:rPr>
            </w:pPr>
            <w:r>
              <w:rPr>
                <w:rFonts w:eastAsia="Times New Roman" w:cs="Calibri"/>
                <w:color w:val="000000"/>
                <w:sz w:val="20"/>
                <w:szCs w:val="20"/>
              </w:rPr>
              <w:t>Is viewed as a more reliable projection method than those that primarily rely on census data or information that reflects population change.</w:t>
            </w:r>
          </w:p>
          <w:p w:rsidR="001B4A97" w:rsidRDefault="001B4A97" w:rsidP="00C36626">
            <w:pPr>
              <w:pStyle w:val="ListParagraph"/>
              <w:numPr>
                <w:ilvl w:val="0"/>
                <w:numId w:val="10"/>
              </w:numPr>
              <w:spacing w:after="0"/>
              <w:ind w:left="321" w:hanging="142"/>
              <w:rPr>
                <w:rFonts w:eastAsia="Times New Roman" w:cs="Calibri"/>
                <w:color w:val="000000"/>
                <w:sz w:val="20"/>
                <w:szCs w:val="20"/>
              </w:rPr>
            </w:pPr>
            <w:r>
              <w:rPr>
                <w:rFonts w:eastAsia="Times New Roman" w:cs="Calibri"/>
                <w:color w:val="000000"/>
                <w:sz w:val="20"/>
                <w:szCs w:val="20"/>
              </w:rPr>
              <w:t>It also provides the type of information needed to plan for services to meet the future demands of different segments of the population.</w:t>
            </w:r>
          </w:p>
          <w:p w:rsidR="001B4A97" w:rsidRDefault="001B4A97">
            <w:pPr>
              <w:pStyle w:val="ListParagraph"/>
              <w:spacing w:after="0"/>
              <w:ind w:left="321"/>
              <w:rPr>
                <w:rFonts w:eastAsia="Times New Roman" w:cs="Calibri"/>
                <w:color w:val="000000"/>
                <w:sz w:val="20"/>
                <w:szCs w:val="20"/>
              </w:rPr>
            </w:pPr>
          </w:p>
        </w:tc>
        <w:tc>
          <w:tcPr>
            <w:tcW w:w="2410" w:type="dxa"/>
            <w:tcBorders>
              <w:top w:val="nil"/>
              <w:left w:val="nil"/>
              <w:bottom w:val="single" w:sz="4" w:space="0" w:color="auto"/>
              <w:right w:val="nil"/>
            </w:tcBorders>
            <w:shd w:val="clear" w:color="auto" w:fill="E7E6E6"/>
            <w:hideMark/>
          </w:tcPr>
          <w:p w:rsidR="001B4A97" w:rsidRDefault="001B4A97" w:rsidP="00C36626">
            <w:pPr>
              <w:pStyle w:val="ListParagraph"/>
              <w:numPr>
                <w:ilvl w:val="0"/>
                <w:numId w:val="11"/>
              </w:numPr>
              <w:spacing w:after="0"/>
              <w:ind w:left="322" w:hanging="141"/>
              <w:rPr>
                <w:rFonts w:eastAsia="Times New Roman" w:cs="Calibri"/>
                <w:color w:val="000000"/>
                <w:sz w:val="20"/>
                <w:szCs w:val="20"/>
              </w:rPr>
            </w:pPr>
            <w:r>
              <w:rPr>
                <w:rFonts w:eastAsia="Times New Roman" w:cs="Calibri"/>
                <w:color w:val="000000"/>
                <w:sz w:val="20"/>
                <w:szCs w:val="20"/>
              </w:rPr>
              <w:t xml:space="preserve">It is highly dependent on reliable birth, death, and migration data. Thus, it may be difficult to collect the information to apply this tool. </w:t>
            </w:r>
          </w:p>
          <w:p w:rsidR="001B4A97" w:rsidRDefault="001B4A97" w:rsidP="00C36626">
            <w:pPr>
              <w:pStyle w:val="ListParagraph"/>
              <w:numPr>
                <w:ilvl w:val="0"/>
                <w:numId w:val="11"/>
              </w:numPr>
              <w:spacing w:after="0"/>
              <w:ind w:left="322" w:hanging="141"/>
              <w:rPr>
                <w:rFonts w:eastAsia="Times New Roman" w:cs="Calibri"/>
                <w:color w:val="000000"/>
                <w:sz w:val="20"/>
                <w:szCs w:val="20"/>
              </w:rPr>
            </w:pPr>
            <w:r>
              <w:rPr>
                <w:rFonts w:eastAsia="Times New Roman" w:cs="Calibri"/>
                <w:color w:val="000000"/>
                <w:sz w:val="20"/>
                <w:szCs w:val="20"/>
              </w:rPr>
              <w:t>This model assumes that survival and birth rate and estimates of net migration will remain the same throughout the projection period.</w:t>
            </w:r>
          </w:p>
          <w:p w:rsidR="001B4A97" w:rsidRDefault="001B4A97" w:rsidP="00C36626">
            <w:pPr>
              <w:pStyle w:val="ListParagraph"/>
              <w:numPr>
                <w:ilvl w:val="0"/>
                <w:numId w:val="11"/>
              </w:numPr>
              <w:spacing w:after="0"/>
              <w:ind w:left="322" w:hanging="141"/>
              <w:rPr>
                <w:rFonts w:eastAsia="Times New Roman" w:cs="Calibri"/>
                <w:color w:val="000000"/>
                <w:sz w:val="20"/>
                <w:szCs w:val="20"/>
              </w:rPr>
            </w:pPr>
            <w:r>
              <w:rPr>
                <w:rFonts w:eastAsia="Times New Roman" w:cs="Calibri"/>
                <w:color w:val="000000"/>
                <w:sz w:val="20"/>
                <w:szCs w:val="20"/>
              </w:rPr>
              <w:t>Does not consider the non-demographic factors that influence population growth or decline.</w:t>
            </w:r>
          </w:p>
        </w:tc>
      </w:tr>
    </w:tbl>
    <w:p w:rsidR="001D1972" w:rsidRDefault="001B4A97">
      <w:bookmarkStart w:id="0" w:name="_GoBack"/>
      <w:bookmarkEnd w:id="0"/>
    </w:p>
    <w:sectPr w:rsidR="001D19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21D"/>
    <w:multiLevelType w:val="multilevel"/>
    <w:tmpl w:val="3B104CCC"/>
    <w:lvl w:ilvl="0">
      <w:start w:val="1"/>
      <w:numFmt w:val="upperRoman"/>
      <w:lvlText w:val="%1."/>
      <w:lvlJc w:val="righ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 w15:restartNumberingAfterBreak="0">
    <w:nsid w:val="190226CC"/>
    <w:multiLevelType w:val="multilevel"/>
    <w:tmpl w:val="330E0D0A"/>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1F33245F"/>
    <w:multiLevelType w:val="multilevel"/>
    <w:tmpl w:val="10D64630"/>
    <w:lvl w:ilvl="0">
      <w:start w:val="1"/>
      <w:numFmt w:val="upperRoman"/>
      <w:lvlText w:val="%1."/>
      <w:lvlJc w:val="righ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 w15:restartNumberingAfterBreak="0">
    <w:nsid w:val="26913D94"/>
    <w:multiLevelType w:val="multilevel"/>
    <w:tmpl w:val="3FD4FCF0"/>
    <w:lvl w:ilvl="0">
      <w:start w:val="1"/>
      <w:numFmt w:val="upperRoman"/>
      <w:lvlText w:val="%1."/>
      <w:lvlJc w:val="right"/>
      <w:pPr>
        <w:ind w:left="541" w:hanging="360"/>
      </w:pPr>
      <w:rPr>
        <w:rFonts w:ascii="Times New Roman" w:hAnsi="Times New Roman" w:cs="Times New Roman" w:hint="default"/>
      </w:rPr>
    </w:lvl>
    <w:lvl w:ilvl="1">
      <w:start w:val="1"/>
      <w:numFmt w:val="lowerLetter"/>
      <w:lvlText w:val="%2."/>
      <w:lvlJc w:val="left"/>
      <w:pPr>
        <w:ind w:left="1261" w:hanging="360"/>
      </w:pPr>
      <w:rPr>
        <w:rFonts w:ascii="Times New Roman" w:hAnsi="Times New Roman" w:cs="Times New Roman" w:hint="default"/>
      </w:rPr>
    </w:lvl>
    <w:lvl w:ilvl="2">
      <w:start w:val="1"/>
      <w:numFmt w:val="lowerRoman"/>
      <w:lvlText w:val="%3."/>
      <w:lvlJc w:val="right"/>
      <w:pPr>
        <w:ind w:left="1981" w:hanging="180"/>
      </w:pPr>
      <w:rPr>
        <w:rFonts w:ascii="Times New Roman" w:hAnsi="Times New Roman" w:cs="Times New Roman" w:hint="default"/>
      </w:rPr>
    </w:lvl>
    <w:lvl w:ilvl="3">
      <w:start w:val="1"/>
      <w:numFmt w:val="decimal"/>
      <w:lvlText w:val="%4."/>
      <w:lvlJc w:val="left"/>
      <w:pPr>
        <w:ind w:left="2701" w:hanging="360"/>
      </w:pPr>
      <w:rPr>
        <w:rFonts w:ascii="Times New Roman" w:hAnsi="Times New Roman" w:cs="Times New Roman" w:hint="default"/>
      </w:rPr>
    </w:lvl>
    <w:lvl w:ilvl="4">
      <w:start w:val="1"/>
      <w:numFmt w:val="lowerLetter"/>
      <w:lvlText w:val="%5."/>
      <w:lvlJc w:val="left"/>
      <w:pPr>
        <w:ind w:left="3421" w:hanging="360"/>
      </w:pPr>
      <w:rPr>
        <w:rFonts w:ascii="Times New Roman" w:hAnsi="Times New Roman" w:cs="Times New Roman" w:hint="default"/>
      </w:rPr>
    </w:lvl>
    <w:lvl w:ilvl="5">
      <w:start w:val="1"/>
      <w:numFmt w:val="lowerRoman"/>
      <w:lvlText w:val="%6."/>
      <w:lvlJc w:val="right"/>
      <w:pPr>
        <w:ind w:left="4141" w:hanging="180"/>
      </w:pPr>
      <w:rPr>
        <w:rFonts w:ascii="Times New Roman" w:hAnsi="Times New Roman" w:cs="Times New Roman" w:hint="default"/>
      </w:rPr>
    </w:lvl>
    <w:lvl w:ilvl="6">
      <w:start w:val="1"/>
      <w:numFmt w:val="decimal"/>
      <w:lvlText w:val="%7."/>
      <w:lvlJc w:val="left"/>
      <w:pPr>
        <w:ind w:left="4861" w:hanging="360"/>
      </w:pPr>
      <w:rPr>
        <w:rFonts w:ascii="Times New Roman" w:hAnsi="Times New Roman" w:cs="Times New Roman" w:hint="default"/>
      </w:rPr>
    </w:lvl>
    <w:lvl w:ilvl="7">
      <w:start w:val="1"/>
      <w:numFmt w:val="lowerLetter"/>
      <w:lvlText w:val="%8."/>
      <w:lvlJc w:val="left"/>
      <w:pPr>
        <w:ind w:left="5581" w:hanging="360"/>
      </w:pPr>
      <w:rPr>
        <w:rFonts w:ascii="Times New Roman" w:hAnsi="Times New Roman" w:cs="Times New Roman" w:hint="default"/>
      </w:rPr>
    </w:lvl>
    <w:lvl w:ilvl="8">
      <w:start w:val="1"/>
      <w:numFmt w:val="lowerRoman"/>
      <w:lvlText w:val="%9."/>
      <w:lvlJc w:val="right"/>
      <w:pPr>
        <w:ind w:left="6301" w:hanging="180"/>
      </w:pPr>
      <w:rPr>
        <w:rFonts w:ascii="Times New Roman" w:hAnsi="Times New Roman" w:cs="Times New Roman" w:hint="default"/>
      </w:rPr>
    </w:lvl>
  </w:abstractNum>
  <w:abstractNum w:abstractNumId="4" w15:restartNumberingAfterBreak="0">
    <w:nsid w:val="3014253A"/>
    <w:multiLevelType w:val="multilevel"/>
    <w:tmpl w:val="AB6E4DB0"/>
    <w:lvl w:ilvl="0">
      <w:start w:val="1"/>
      <w:numFmt w:val="upperRoman"/>
      <w:lvlText w:val="%1."/>
      <w:lvlJc w:val="righ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5" w15:restartNumberingAfterBreak="0">
    <w:nsid w:val="3BD47377"/>
    <w:multiLevelType w:val="multilevel"/>
    <w:tmpl w:val="CF7E9FDE"/>
    <w:lvl w:ilvl="0">
      <w:start w:val="1"/>
      <w:numFmt w:val="upperRoman"/>
      <w:lvlText w:val="%1."/>
      <w:lvlJc w:val="righ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 w15:restartNumberingAfterBreak="0">
    <w:nsid w:val="51AF5CB2"/>
    <w:multiLevelType w:val="multilevel"/>
    <w:tmpl w:val="CEAE9D52"/>
    <w:lvl w:ilvl="0">
      <w:start w:val="1"/>
      <w:numFmt w:val="upperRoman"/>
      <w:lvlText w:val="%1."/>
      <w:lvlJc w:val="righ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7" w15:restartNumberingAfterBreak="0">
    <w:nsid w:val="52205C38"/>
    <w:multiLevelType w:val="multilevel"/>
    <w:tmpl w:val="258262EC"/>
    <w:lvl w:ilvl="0">
      <w:start w:val="1"/>
      <w:numFmt w:val="upperRoman"/>
      <w:lvlText w:val="%1."/>
      <w:lvlJc w:val="righ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8" w15:restartNumberingAfterBreak="0">
    <w:nsid w:val="54AC0F52"/>
    <w:multiLevelType w:val="multilevel"/>
    <w:tmpl w:val="F8940232"/>
    <w:lvl w:ilvl="0">
      <w:start w:val="1"/>
      <w:numFmt w:val="upperRoman"/>
      <w:lvlText w:val="%1."/>
      <w:lvlJc w:val="righ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9" w15:restartNumberingAfterBreak="0">
    <w:nsid w:val="707A3789"/>
    <w:multiLevelType w:val="multilevel"/>
    <w:tmpl w:val="79007560"/>
    <w:lvl w:ilvl="0">
      <w:start w:val="1"/>
      <w:numFmt w:val="upperRoman"/>
      <w:lvlText w:val="%1."/>
      <w:lvlJc w:val="righ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0" w15:restartNumberingAfterBreak="0">
    <w:nsid w:val="70856B48"/>
    <w:multiLevelType w:val="multilevel"/>
    <w:tmpl w:val="1556EE1C"/>
    <w:lvl w:ilvl="0">
      <w:start w:val="1"/>
      <w:numFmt w:val="upperRoman"/>
      <w:lvlText w:val="%1."/>
      <w:lvlJc w:val="right"/>
      <w:pPr>
        <w:ind w:left="36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lvlOverride w:ilvl="2"/>
    <w:lvlOverride w:ilvl="3"/>
    <w:lvlOverride w:ilvl="4"/>
    <w:lvlOverride w:ilvl="5"/>
    <w:lvlOverride w:ilvl="6"/>
    <w:lvlOverride w:ilvl="7"/>
    <w:lvlOverride w:ilvl="8"/>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A97"/>
    <w:rsid w:val="001B4A97"/>
    <w:rsid w:val="00331277"/>
    <w:rsid w:val="00BA7B0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67BD0D-73C0-4D15-9C30-F12128ACA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A97"/>
    <w:pPr>
      <w:spacing w:before="100" w:beforeAutospacing="1" w:line="256" w:lineRule="auto"/>
    </w:pPr>
    <w:rPr>
      <w:rFonts w:ascii="Calibri" w:eastAsia="DengXian" w:hAnsi="Calibri" w:cs="Times New Roman"/>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B4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63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CRC</dc:creator>
  <cp:keywords/>
  <dc:description/>
  <cp:lastModifiedBy>CRC</cp:lastModifiedBy>
  <cp:revision>1</cp:revision>
  <dcterms:created xsi:type="dcterms:W3CDTF">2023-02-20T01:35:00Z</dcterms:created>
  <dcterms:modified xsi:type="dcterms:W3CDTF">2023-02-20T01:36:00Z</dcterms:modified>
</cp:coreProperties>
</file>