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第1</w:t>
      </w:r>
      <w:r>
        <w:rPr>
          <w:rFonts w:ascii="微软雅黑" w:hAnsi="微软雅黑" w:eastAsia="微软雅黑"/>
          <w:sz w:val="32"/>
          <w:szCs w:val="32"/>
        </w:rPr>
        <w:t>1</w:t>
      </w:r>
      <w:r>
        <w:rPr>
          <w:rFonts w:hint="eastAsia" w:ascii="微软雅黑" w:hAnsi="微软雅黑" w:eastAsia="微软雅黑"/>
          <w:sz w:val="32"/>
          <w:szCs w:val="32"/>
        </w:rPr>
        <w:t>周玩转案例分析</w:t>
      </w:r>
    </w:p>
    <w:p>
      <w:pPr>
        <w:jc w:val="center"/>
        <w:rPr>
          <w:rFonts w:ascii="微软雅黑" w:hAnsi="微软雅黑" w:eastAsia="微软雅黑"/>
          <w:sz w:val="32"/>
          <w:szCs w:val="32"/>
        </w:rPr>
      </w:pPr>
    </w:p>
    <w:p>
      <w:pPr>
        <w:ind w:left="140" w:leftChars="50"/>
        <w:jc w:val="left"/>
        <w:rPr>
          <w:rFonts w:ascii="微软雅黑" w:hAnsi="微软雅黑" w:eastAsia="微软雅黑"/>
          <w:b w:val="0"/>
        </w:rPr>
      </w:pPr>
      <w:r>
        <w:rPr>
          <w:rFonts w:ascii="微软雅黑" w:hAnsi="微软雅黑" w:eastAsia="微软雅黑"/>
        </w:rPr>
        <w:t>在讲案例分析之前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我们先来说下案例分析作业的步骤</w:t>
      </w:r>
      <w:r>
        <w:rPr>
          <w:rFonts w:hint="eastAsia" w:ascii="微软雅黑" w:hAnsi="微软雅黑" w:eastAsia="微软雅黑"/>
          <w:b w:val="0"/>
        </w:rPr>
        <w:t>：</w:t>
      </w:r>
    </w:p>
    <w:p>
      <w:pPr>
        <w:ind w:left="140" w:leftChars="50"/>
        <w:jc w:val="left"/>
        <w:rPr>
          <w:rFonts w:ascii="微软雅黑" w:hAnsi="微软雅黑" w:eastAsia="微软雅黑"/>
          <w:b w:val="0"/>
        </w:rPr>
      </w:pPr>
      <w:r>
        <w:drawing>
          <wp:inline distT="0" distB="0" distL="0" distR="0">
            <wp:extent cx="5486400" cy="17443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" w:leftChars="50"/>
        <w:jc w:val="left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我们以后的实践作业，可以参照这个步骤具体操作。</w:t>
      </w:r>
    </w:p>
    <w:p>
      <w:pPr>
        <w:ind w:left="140" w:leftChars="50"/>
        <w:jc w:val="center"/>
        <w:rPr>
          <w:rFonts w:ascii="微软雅黑" w:hAnsi="微软雅黑" w:eastAsia="微软雅黑"/>
          <w:sz w:val="21"/>
          <w:szCs w:val="21"/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下面来看下本周作业</w:t>
      </w:r>
      <w:r>
        <w:rPr>
          <w:rFonts w:ascii="微软雅黑" w:hAnsi="微软雅黑" w:eastAsia="微软雅黑"/>
        </w:rPr>
        <w:t>内容重点：</w:t>
      </w:r>
    </w:p>
    <w:p>
      <w:pPr>
        <w:rPr>
          <w:rFonts w:ascii="微软雅黑" w:hAnsi="微软雅黑" w:eastAsia="微软雅黑"/>
          <w:sz w:val="21"/>
          <w:szCs w:val="21"/>
          <w:highlight w:val="red"/>
        </w:rPr>
      </w:pPr>
      <w:r>
        <w:drawing>
          <wp:inline distT="0" distB="0" distL="0" distR="0">
            <wp:extent cx="5486400" cy="17094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1"/>
          <w:szCs w:val="21"/>
          <w:highlight w:val="red"/>
        </w:rPr>
      </w:pPr>
    </w:p>
    <w:p>
      <w:pPr>
        <w:pStyle w:val="12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最近5年年报下载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1、年报下载思路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485130" cy="187071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2、年报下载具体操作：</w:t>
      </w:r>
    </w:p>
    <w:p>
      <w:pPr>
        <w:jc w:val="left"/>
        <w:rPr>
          <w:rStyle w:val="7"/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首先我们要准备好双汇发展连续5年的年报，打开巨潮资讯搜索双汇发展</w:t>
      </w:r>
      <w:r>
        <w:fldChar w:fldCharType="begin"/>
      </w:r>
      <w:r>
        <w:instrText xml:space="preserve"> HYPERLINK "http://www.cninfo.com.cn/new/index" </w:instrText>
      </w:r>
      <w:r>
        <w:fldChar w:fldCharType="separate"/>
      </w:r>
      <w:r>
        <w:rPr>
          <w:rStyle w:val="7"/>
          <w:rFonts w:ascii="微软雅黑" w:hAnsi="微软雅黑" w:eastAsia="微软雅黑"/>
          <w:sz w:val="24"/>
          <w:szCs w:val="24"/>
        </w:rPr>
        <w:t>http://www.cninfo.com.cn/new/index</w:t>
      </w:r>
      <w:r>
        <w:rPr>
          <w:rStyle w:val="7"/>
          <w:rFonts w:ascii="微软雅黑" w:hAnsi="微软雅黑" w:eastAsia="微软雅黑"/>
          <w:sz w:val="24"/>
          <w:szCs w:val="24"/>
        </w:rPr>
        <w:fldChar w:fldCharType="end"/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在搜索栏打自己想要搜索的公司名称</w:t>
      </w:r>
    </w:p>
    <w:p>
      <w:pPr>
        <w:jc w:val="left"/>
      </w:pPr>
      <w:r>
        <w:drawing>
          <wp:inline distT="0" distB="0" distL="114300" distR="114300">
            <wp:extent cx="6638290" cy="3166110"/>
            <wp:effectExtent l="0" t="0" r="1016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双汇发展出来的信息边上点更多</w:t>
      </w:r>
    </w:p>
    <w:p>
      <w:pPr>
        <w:jc w:val="left"/>
      </w:pPr>
      <w:r>
        <w:drawing>
          <wp:inline distT="0" distB="0" distL="114300" distR="114300">
            <wp:extent cx="5562600" cy="2653030"/>
            <wp:effectExtent l="0" t="0" r="0" b="1397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然后我们点公告搜索，选择年报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6638290" cy="2929890"/>
            <wp:effectExtent l="0" t="0" r="10160" b="381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720080" cy="24917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92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分别下载过去5年的年报，这里以2</w:t>
      </w:r>
      <w:r>
        <w:rPr>
          <w:rFonts w:ascii="微软雅黑" w:hAnsi="微软雅黑" w:eastAsia="微软雅黑"/>
          <w:sz w:val="24"/>
          <w:szCs w:val="24"/>
        </w:rPr>
        <w:t>01</w:t>
      </w:r>
      <w:r>
        <w:rPr>
          <w:rFonts w:hint="eastAsia" w:ascii="微软雅黑" w:hAnsi="微软雅黑" w:eastAsia="微软雅黑"/>
          <w:sz w:val="24"/>
          <w:szCs w:val="24"/>
        </w:rPr>
        <w:t>4年到2</w:t>
      </w:r>
      <w:r>
        <w:rPr>
          <w:rFonts w:ascii="微软雅黑" w:hAnsi="微软雅黑" w:eastAsia="微软雅黑"/>
          <w:sz w:val="24"/>
          <w:szCs w:val="24"/>
        </w:rPr>
        <w:t>01</w:t>
      </w:r>
      <w:r>
        <w:rPr>
          <w:rFonts w:hint="eastAsia" w:ascii="微软雅黑" w:hAnsi="微软雅黑" w:eastAsia="微软雅黑"/>
          <w:sz w:val="24"/>
          <w:szCs w:val="24"/>
        </w:rPr>
        <w:t>8年双汇的财务数据举例。</w:t>
      </w:r>
    </w:p>
    <w:p>
      <w:pPr>
        <w:jc w:val="left"/>
        <w:rPr>
          <w:rFonts w:ascii="微软雅黑" w:hAnsi="微软雅黑" w:eastAsia="微软雅黑"/>
          <w:sz w:val="24"/>
          <w:szCs w:val="24"/>
        </w:rPr>
      </w:pPr>
    </w:p>
    <w:p>
      <w:pPr>
        <w:ind w:left="14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二、货币资金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1、分析思路：</w:t>
      </w:r>
    </w:p>
    <w:p>
      <w:pPr>
        <w:pStyle w:val="12"/>
        <w:ind w:firstLine="140" w:firstLineChars="50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484495" cy="25527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120" w:firstLineChars="50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b w:val="0"/>
        </w:rPr>
      </w:pPr>
      <w:r>
        <w:rPr>
          <w:rFonts w:hint="eastAsia" w:ascii="微软雅黑" w:hAnsi="微软雅黑" w:eastAsia="微软雅黑"/>
        </w:rPr>
        <w:t>2</w:t>
      </w:r>
      <w:r>
        <w:rPr>
          <w:rFonts w:hint="eastAsia" w:ascii="微软雅黑" w:hAnsi="微软雅黑" w:eastAsia="微软雅黑"/>
          <w:b w:val="0"/>
        </w:rPr>
        <w:t>、</w:t>
      </w:r>
      <w:r>
        <w:rPr>
          <w:rFonts w:hint="eastAsia" w:ascii="微软雅黑" w:hAnsi="微软雅黑" w:eastAsia="微软雅黑"/>
        </w:rPr>
        <w:t>数据收集汇总：货币资金、其他流动资产里的理财产品、短期借款、一年内到期的非流动负债、总资产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其他流动资产里的理财产品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我们用福昕阅读器，打开年报搜索下其他流动资产，可以看到其他流动资产明细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6283325" cy="26257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128" cy="26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总资产在年报资产负债表左下角资产合计里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drawing>
          <wp:inline distT="0" distB="0" distL="114300" distR="114300">
            <wp:extent cx="6086475" cy="4019550"/>
            <wp:effectExtent l="0" t="0" r="952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按照分析思路第一步，我们先汇总所有需要分析的数据，做成EXCEL表格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98170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第一步，准货币资金-短期有息负债，差额为正，说明该公司没有短期偿债风险，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第二步，准货币资金占总资产比率均大于10%，说明资金情况比较好。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第三步，我们还可以看看数据是否有异常情况，我们发现2018年（标红）准货币资金明显低于其他年份，这个异常情况我们需要去分析原因。</w:t>
      </w:r>
    </w:p>
    <w:p>
      <w:pPr>
        <w:rPr>
          <w:rFonts w:ascii="微软雅黑" w:hAnsi="微软雅黑" w:eastAsia="微软雅黑"/>
          <w:bCs/>
        </w:rPr>
      </w:pPr>
      <w:r>
        <w:rPr>
          <w:rFonts w:hint="eastAsia" w:ascii="微软雅黑" w:hAnsi="微软雅黑" w:eastAsia="微软雅黑"/>
          <w:bCs/>
        </w:rPr>
        <w:t>3、</w:t>
      </w:r>
      <w:r>
        <w:rPr>
          <w:rFonts w:ascii="微软雅黑" w:hAnsi="微软雅黑" w:eastAsia="微软雅黑"/>
          <w:bCs/>
        </w:rPr>
        <w:t>分析异常情况的原因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货币资金的变动直接对应的就是现金流量表的变动，现金流量表分为三大活动，经营活动投资活动和筹资活动，所以我们来看2018年这三项活动是否有重大变动：</w:t>
      </w:r>
      <w:bookmarkStart w:id="0" w:name="_GoBack"/>
      <w:bookmarkEnd w:id="0"/>
    </w:p>
    <w:p>
      <w:r>
        <w:drawing>
          <wp:inline distT="0" distB="0" distL="0" distR="0">
            <wp:extent cx="6381750" cy="3686175"/>
            <wp:effectExtent l="0" t="0" r="0" b="9525"/>
            <wp:docPr id="12" name="图片 12" descr="C:\Users\hb\AppData\Local\Temp\1584844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hb\AppData\Local\Temp\158484466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ascii="微软雅黑" w:hAnsi="微软雅黑" w:eastAsia="微软雅黑"/>
          <w:b w:val="0"/>
          <w:bCs/>
          <w:sz w:val="24"/>
          <w:szCs w:val="24"/>
        </w:rPr>
        <w:t>在现金流这个截图后面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，</w:t>
      </w:r>
      <w:r>
        <w:rPr>
          <w:rFonts w:ascii="微软雅黑" w:hAnsi="微软雅黑" w:eastAsia="微软雅黑"/>
          <w:b w:val="0"/>
          <w:bCs/>
          <w:sz w:val="24"/>
          <w:szCs w:val="24"/>
        </w:rPr>
        <w:t>年报里有对应资金流变化的解释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：</w:t>
      </w:r>
    </w:p>
    <w:p>
      <w:r>
        <w:drawing>
          <wp:inline distT="0" distB="0" distL="0" distR="0">
            <wp:extent cx="6200775" cy="2676525"/>
            <wp:effectExtent l="0" t="0" r="9525" b="9525"/>
            <wp:docPr id="14" name="图片 14" descr="C:\Users\hb\AppData\Local\Temp\1584844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hb\AppData\Local\Temp\158484471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从上面的截图可以看出，经营活动产生的现金流量变化不大，投资活动资金净流入和筹资活动的支出大幅增加，投资活动大幅增加，主要是购买购买结构性存款；筹资活动现金流量净额流出增加主要是分红增加及净融资额减少，那么我们就找到原因了，是这2项变化导致的准货币资金减少。</w:t>
      </w:r>
    </w:p>
    <w:p>
      <w:pPr>
        <w:ind w:left="283" w:right="118" w:rightChars="42" w:hanging="283" w:hangingChars="118"/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4、根据分析结果，得出结论（10分）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ascii="微软雅黑" w:hAnsi="微软雅黑" w:eastAsia="微软雅黑"/>
          <w:b w:val="0"/>
          <w:bCs/>
          <w:sz w:val="24"/>
          <w:szCs w:val="24"/>
        </w:rPr>
        <w:t>根据分析结果，得出货币资金这个科目是否有风险，如果有，具体有什么风险呢？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48238A"/>
    <w:multiLevelType w:val="multilevel"/>
    <w:tmpl w:val="7948238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617"/>
    <w:rsid w:val="000058CF"/>
    <w:rsid w:val="000A3853"/>
    <w:rsid w:val="00106C22"/>
    <w:rsid w:val="00145FFA"/>
    <w:rsid w:val="00170523"/>
    <w:rsid w:val="00177C12"/>
    <w:rsid w:val="001C3981"/>
    <w:rsid w:val="001E1560"/>
    <w:rsid w:val="001E1BAE"/>
    <w:rsid w:val="00216DC3"/>
    <w:rsid w:val="0027264F"/>
    <w:rsid w:val="002E4A8D"/>
    <w:rsid w:val="003509E3"/>
    <w:rsid w:val="0036503B"/>
    <w:rsid w:val="003A3133"/>
    <w:rsid w:val="003B05AF"/>
    <w:rsid w:val="003B574B"/>
    <w:rsid w:val="00404BAD"/>
    <w:rsid w:val="004558CE"/>
    <w:rsid w:val="00473F73"/>
    <w:rsid w:val="004B7951"/>
    <w:rsid w:val="004D1506"/>
    <w:rsid w:val="004E4750"/>
    <w:rsid w:val="005403A2"/>
    <w:rsid w:val="00560347"/>
    <w:rsid w:val="005B5934"/>
    <w:rsid w:val="005F68E8"/>
    <w:rsid w:val="00611847"/>
    <w:rsid w:val="00617093"/>
    <w:rsid w:val="006A4D25"/>
    <w:rsid w:val="006E3538"/>
    <w:rsid w:val="006E4B43"/>
    <w:rsid w:val="006F158E"/>
    <w:rsid w:val="00702673"/>
    <w:rsid w:val="007156B8"/>
    <w:rsid w:val="00722F49"/>
    <w:rsid w:val="0076644B"/>
    <w:rsid w:val="007873CE"/>
    <w:rsid w:val="007977F5"/>
    <w:rsid w:val="007A17D7"/>
    <w:rsid w:val="00814B56"/>
    <w:rsid w:val="0081668D"/>
    <w:rsid w:val="00817A49"/>
    <w:rsid w:val="008310CE"/>
    <w:rsid w:val="00875EE9"/>
    <w:rsid w:val="008B38C5"/>
    <w:rsid w:val="008B4681"/>
    <w:rsid w:val="00924B70"/>
    <w:rsid w:val="00930741"/>
    <w:rsid w:val="00940F69"/>
    <w:rsid w:val="00952302"/>
    <w:rsid w:val="00956137"/>
    <w:rsid w:val="009806E1"/>
    <w:rsid w:val="00985833"/>
    <w:rsid w:val="00993D7F"/>
    <w:rsid w:val="00997A9B"/>
    <w:rsid w:val="009A5FA9"/>
    <w:rsid w:val="009C650D"/>
    <w:rsid w:val="009C665B"/>
    <w:rsid w:val="00A02DBE"/>
    <w:rsid w:val="00A20627"/>
    <w:rsid w:val="00A369DF"/>
    <w:rsid w:val="00A60766"/>
    <w:rsid w:val="00A873AC"/>
    <w:rsid w:val="00AA6031"/>
    <w:rsid w:val="00AD1698"/>
    <w:rsid w:val="00AD2612"/>
    <w:rsid w:val="00B3145C"/>
    <w:rsid w:val="00B4001D"/>
    <w:rsid w:val="00B66408"/>
    <w:rsid w:val="00B71316"/>
    <w:rsid w:val="00B82929"/>
    <w:rsid w:val="00B92825"/>
    <w:rsid w:val="00BE12CE"/>
    <w:rsid w:val="00BF4D28"/>
    <w:rsid w:val="00C16C59"/>
    <w:rsid w:val="00C910FA"/>
    <w:rsid w:val="00CA0E60"/>
    <w:rsid w:val="00CB099A"/>
    <w:rsid w:val="00CC7617"/>
    <w:rsid w:val="00CE79F2"/>
    <w:rsid w:val="00CF2183"/>
    <w:rsid w:val="00D1551F"/>
    <w:rsid w:val="00D315C9"/>
    <w:rsid w:val="00D328C2"/>
    <w:rsid w:val="00DA1C0D"/>
    <w:rsid w:val="00DF24FE"/>
    <w:rsid w:val="00DF4307"/>
    <w:rsid w:val="00E106AC"/>
    <w:rsid w:val="00E41D2A"/>
    <w:rsid w:val="00E54084"/>
    <w:rsid w:val="00E67B4A"/>
    <w:rsid w:val="00E76937"/>
    <w:rsid w:val="00E8724E"/>
    <w:rsid w:val="00EA44A5"/>
    <w:rsid w:val="00EC351C"/>
    <w:rsid w:val="00F53192"/>
    <w:rsid w:val="00F822E3"/>
    <w:rsid w:val="00F85014"/>
    <w:rsid w:val="00F864F2"/>
    <w:rsid w:val="00FA3FE3"/>
    <w:rsid w:val="00FB39B0"/>
    <w:rsid w:val="00FE3F71"/>
    <w:rsid w:val="053D577C"/>
    <w:rsid w:val="07A11C06"/>
    <w:rsid w:val="09CE217F"/>
    <w:rsid w:val="1DD80BB5"/>
    <w:rsid w:val="24785BEB"/>
    <w:rsid w:val="2B341292"/>
    <w:rsid w:val="2D2061A8"/>
    <w:rsid w:val="2F5D70CA"/>
    <w:rsid w:val="3D920A83"/>
    <w:rsid w:val="43BA3BCB"/>
    <w:rsid w:val="44426772"/>
    <w:rsid w:val="4AA14A42"/>
    <w:rsid w:val="4D2D4B7B"/>
    <w:rsid w:val="52C478DD"/>
    <w:rsid w:val="59C059AE"/>
    <w:rsid w:val="5CE308C9"/>
    <w:rsid w:val="5F090E15"/>
    <w:rsid w:val="60AF1C83"/>
    <w:rsid w:val="653A2188"/>
    <w:rsid w:val="6BBF62A3"/>
    <w:rsid w:val="6FD205B9"/>
    <w:rsid w:val="71B67468"/>
    <w:rsid w:val="758C04C2"/>
    <w:rsid w:val="76B71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b/>
      <w:color w:val="000000" w:themeColor="text1"/>
      <w:kern w:val="2"/>
      <w:sz w:val="28"/>
      <w:szCs w:val="28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140</Words>
  <Characters>804</Characters>
  <Lines>6</Lines>
  <Paragraphs>1</Paragraphs>
  <TotalTime>70</TotalTime>
  <ScaleCrop>false</ScaleCrop>
  <LinksUpToDate>false</LinksUpToDate>
  <CharactersWithSpaces>943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2020-03-21T15:05:00Z</dcterms:created>
  <dc:creator>xia tian</dc:creator>
  <cp:lastModifiedBy>shiny0108</cp:lastModifiedBy>
  <cp:lastPrinted>2019-04-29T00:00:00Z</cp:lastPrinted>
  <dcterms:modified xsi:type="dcterms:W3CDTF">2020-04-04T14:03:36Z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