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2561" w:firstLineChars="800"/>
        <w:jc w:val="left"/>
        <w:rPr>
          <w:rFonts w:ascii="微软雅黑" w:hAnsi="微软雅黑" w:eastAsia="微软雅黑" w:cs="宋体"/>
          <w:b/>
          <w:bCs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2"/>
          <w:szCs w:val="32"/>
        </w:rPr>
        <w:t>第1</w:t>
      </w:r>
      <w:r>
        <w:rPr>
          <w:rFonts w:ascii="微软雅黑" w:hAnsi="微软雅黑" w:eastAsia="微软雅黑" w:cs="宋体"/>
          <w:b/>
          <w:bCs/>
          <w:kern w:val="0"/>
          <w:sz w:val="32"/>
          <w:szCs w:val="32"/>
        </w:rPr>
        <w:t>2</w:t>
      </w:r>
      <w:r>
        <w:rPr>
          <w:rFonts w:hint="eastAsia" w:ascii="微软雅黑" w:hAnsi="微软雅黑" w:eastAsia="微软雅黑" w:cs="宋体"/>
          <w:b/>
          <w:bCs/>
          <w:kern w:val="0"/>
          <w:sz w:val="32"/>
          <w:szCs w:val="32"/>
        </w:rPr>
        <w:t>周实践课安排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一、交案例分析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1.1每位学员都要上交自己每周实践课的案例分析，文件格式：姓名+第*周实践课；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1.2以组为单位，组长收齐每位学员的作业后，统一交给指导老师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截止时间：实践课前一天22:00之前必须上交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计分规则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（1）满分为100分。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（2）小组得分=小组案例分析完成率*</w:t>
      </w:r>
      <w:r>
        <w:rPr>
          <w:rFonts w:ascii="微软雅黑" w:hAnsi="微软雅黑" w:eastAsia="微软雅黑" w:cs="宋体"/>
          <w:kern w:val="0"/>
          <w:sz w:val="24"/>
        </w:rPr>
        <w:t>100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二、案例分析及问答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1、进行规则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1.1、指导老师随机提问学员进行案例分析或解答老师提问的试题。每位学员均可能被提问。学员讲解完毕，请在最后一通语音以“回答完毕”结尾。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1.2、用图片加语音的方式来讲解。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1.3、指导老师点评学员的回答</w:t>
      </w:r>
    </w:p>
    <w:p>
      <w:pPr>
        <w:pStyle w:val="6"/>
        <w:widowControl/>
        <w:tabs>
          <w:tab w:val="center" w:pos="4153"/>
        </w:tabs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2、时间安排：21:00-21:30</w:t>
      </w:r>
      <w:r>
        <w:rPr>
          <w:rFonts w:hint="eastAsia" w:ascii="微软雅黑" w:hAnsi="微软雅黑" w:eastAsia="微软雅黑" w:cs="宋体"/>
          <w:kern w:val="0"/>
          <w:sz w:val="24"/>
        </w:rPr>
        <w:tab/>
      </w:r>
    </w:p>
    <w:p>
      <w:pPr>
        <w:widowControl/>
        <w:numPr>
          <w:ilvl w:val="0"/>
          <w:numId w:val="2"/>
        </w:numPr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重点知识讲解</w:t>
      </w:r>
    </w:p>
    <w:p>
      <w:pPr>
        <w:widowControl/>
        <w:numPr>
          <w:ilvl w:val="0"/>
          <w:numId w:val="3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指导老师针对本周实践课重点内容进行讲解，帮助同学们理解吸收所学内容</w:t>
      </w:r>
    </w:p>
    <w:p>
      <w:pPr>
        <w:pStyle w:val="6"/>
        <w:widowControl/>
        <w:tabs>
          <w:tab w:val="center" w:pos="4153"/>
        </w:tabs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2、时间安排：21:30-21:40</w:t>
      </w:r>
      <w:r>
        <w:rPr>
          <w:rFonts w:hint="eastAsia" w:ascii="微软雅黑" w:hAnsi="微软雅黑" w:eastAsia="微软雅黑" w:cs="宋体"/>
          <w:kern w:val="0"/>
          <w:sz w:val="24"/>
        </w:rPr>
        <w:tab/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四、在线测试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1、进行规则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（1）案例分析结束后，进行考试。每位学员通过手机线上考试。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（2）单选题12道，不定项选择题8道。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（3）考试时间为20分钟，考试结束前自己主动提交试卷，如果不提交系统会在截止时间自动收卷。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（4）系统根据各组提供的标准答案计算分数。如果对答案有异议的，可课后讨论解决。由于试题原因被错扣分的，分数可以修改。在第二天10:00前老师没有收到异议的，即默认每位同学没有异议。考试分数生效。</w:t>
      </w:r>
    </w:p>
    <w:p>
      <w:pPr>
        <w:pStyle w:val="6"/>
        <w:widowControl/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2、时间安排：21:40-22:00</w:t>
      </w:r>
    </w:p>
    <w:p>
      <w:pPr>
        <w:pStyle w:val="6"/>
        <w:widowControl/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3、计分规则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单选题每题5分，共60分；不定项选题每题5分，共40分。合计100分。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个人得分即为个人实际得分；小组实际得分X=本组人员得分总计/本组考试人数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</w:rPr>
        <w:t>案例分析题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ascii="微软雅黑" w:hAnsi="微软雅黑" w:eastAsia="微软雅黑" w:cs="宋体"/>
          <w:kern w:val="0"/>
          <w:sz w:val="24"/>
        </w:rPr>
        <w:t>1、 根据双汇发展（000895）过去连续 5 年的合并资产负债表，通过</w:t>
      </w:r>
      <w:r>
        <w:rPr>
          <w:rFonts w:hint="eastAsia" w:ascii="微软雅黑" w:hAnsi="微软雅黑" w:eastAsia="微软雅黑" w:cs="宋体"/>
          <w:kern w:val="0"/>
          <w:sz w:val="24"/>
          <w:lang w:val="en-US" w:eastAsia="zh-CN"/>
        </w:rPr>
        <w:t>应收票据、</w:t>
      </w:r>
      <w:r>
        <w:rPr>
          <w:rFonts w:ascii="微软雅黑" w:hAnsi="微软雅黑" w:eastAsia="微软雅黑" w:cs="宋体"/>
          <w:kern w:val="0"/>
          <w:sz w:val="24"/>
        </w:rPr>
        <w:t>应收账款、预付款项、其他应收款、存货、其他流动资产各科目，结合总资产、营业收入（在合并利润表中）与合并现金流量表个别科目（如需），简单评价一下这家公司的风险以及竞争力情况。（100 分）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ascii="微软雅黑" w:hAnsi="微软雅黑" w:eastAsia="微软雅黑" w:cs="宋体"/>
          <w:kern w:val="0"/>
          <w:sz w:val="24"/>
        </w:rPr>
        <w:t>2、 根据嘉寓股份（300117）过去连续 5 年的合并资产负债表，通过</w:t>
      </w:r>
      <w:r>
        <w:rPr>
          <w:rFonts w:hint="eastAsia" w:ascii="微软雅黑" w:hAnsi="微软雅黑" w:eastAsia="微软雅黑" w:cs="宋体"/>
          <w:kern w:val="0"/>
          <w:sz w:val="24"/>
          <w:lang w:val="en-US" w:eastAsia="zh-CN"/>
        </w:rPr>
        <w:t>应收票据、</w:t>
      </w:r>
      <w:bookmarkStart w:id="0" w:name="_GoBack"/>
      <w:bookmarkEnd w:id="0"/>
      <w:r>
        <w:rPr>
          <w:rFonts w:ascii="微软雅黑" w:hAnsi="微软雅黑" w:eastAsia="微软雅黑" w:cs="宋体"/>
          <w:kern w:val="0"/>
          <w:sz w:val="24"/>
        </w:rPr>
        <w:t>应收账款、预付款项、其他应收款、存货、其他流动资产各科目，结合总资产、营业收入（在合并利润表中）与合并现金流量表个别科目（如需），简单评价一下这家公司的风险以及竞争力情况。（100 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E0933"/>
    <w:multiLevelType w:val="singleLevel"/>
    <w:tmpl w:val="CFDE09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10E2994"/>
    <w:multiLevelType w:val="singleLevel"/>
    <w:tmpl w:val="410E299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F4D8115"/>
    <w:multiLevelType w:val="singleLevel"/>
    <w:tmpl w:val="4F4D811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54"/>
    <w:rsid w:val="00707054"/>
    <w:rsid w:val="00715B4F"/>
    <w:rsid w:val="00E46B81"/>
    <w:rsid w:val="0404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139</Words>
  <Characters>797</Characters>
  <Lines>6</Lines>
  <Paragraphs>1</Paragraphs>
  <TotalTime>5</TotalTime>
  <ScaleCrop>false</ScaleCrop>
  <LinksUpToDate>false</LinksUpToDate>
  <CharactersWithSpaces>935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2019-06-24T05:34:00Z</dcterms:created>
  <dc:creator>xia tian</dc:creator>
  <cp:lastModifiedBy>大庆</cp:lastModifiedBy>
  <dcterms:modified xsi:type="dcterms:W3CDTF">2020-04-01T14:06:46Z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