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第1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周玩转案例分析</w:t>
      </w:r>
    </w:p>
    <w:p>
      <w:pPr>
        <w:ind w:left="-848" w:leftChars="-303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4"/>
          <w:szCs w:val="24"/>
        </w:rPr>
        <w:t>本周作业重点分析</w:t>
      </w:r>
      <w:r>
        <w:rPr>
          <w:rFonts w:hint="eastAsia" w:ascii="微软雅黑" w:hAnsi="微软雅黑" w:eastAsia="微软雅黑"/>
        </w:rPr>
        <w:t>：</w:t>
      </w:r>
    </w:p>
    <w:p>
      <w:pPr>
        <w:ind w:right="-92" w:rightChars="-33"/>
      </w:pPr>
      <w:r>
        <w:drawing>
          <wp:inline distT="0" distB="0" distL="0" distR="0">
            <wp:extent cx="5885815" cy="2515235"/>
            <wp:effectExtent l="0" t="0" r="12065" b="14605"/>
            <wp:docPr id="22" name="图片 22" descr="C:\Users\lenovo\AppData\Local\Temp\WeChat Files\899cc02844819745fb63f0662a695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lenovo\AppData\Local\Temp\WeChat Files\899cc02844819745fb63f0662a695f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/>
          <w:bCs/>
        </w:rPr>
        <w:t>一、应收票据、应收账款</w:t>
      </w:r>
      <w:bookmarkStart w:id="0" w:name="_GoBack"/>
      <w:bookmarkEnd w:id="0"/>
    </w:p>
    <w:p>
      <w:pPr>
        <w:jc w:val="left"/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1、分析思路</w:t>
      </w:r>
      <w:r>
        <w:rPr>
          <w:rFonts w:hint="eastAsia" w:ascii="微软雅黑" w:hAnsi="微软雅黑" w:eastAsia="微软雅黑"/>
          <w:b w:val="0"/>
          <w:bCs/>
          <w:sz w:val="24"/>
          <w:szCs w:val="24"/>
        </w:rPr>
        <w:t>：</w:t>
      </w:r>
      <w:r>
        <w:rPr>
          <w:rFonts w:hint="eastAsia" w:ascii="微软雅黑" w:hAnsi="微软雅黑" w:eastAsia="微软雅黑"/>
          <w:bCs/>
          <w:sz w:val="24"/>
          <w:szCs w:val="24"/>
        </w:rPr>
        <w:t xml:space="preserve"> </w:t>
      </w:r>
    </w:p>
    <w:p>
      <w:pPr>
        <w:jc w:val="left"/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ascii="微软雅黑" w:hAnsi="微软雅黑" w:eastAsia="微软雅黑"/>
          <w:b w:val="0"/>
          <w:bCs/>
          <w:sz w:val="24"/>
          <w:szCs w:val="24"/>
        </w:rPr>
        <w:drawing>
          <wp:inline distT="0" distB="0" distL="0" distR="0">
            <wp:extent cx="6306820" cy="2815590"/>
            <wp:effectExtent l="0" t="0" r="0" b="3810"/>
            <wp:docPr id="2" name="图片 2" descr="C:\Users\hb\AppData\Local\Temp\1585392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b\AppData\Local\Temp\158539226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28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2、数据收集：应收票据、应收账款、营业收入</w:t>
      </w:r>
    </w:p>
    <w:p>
      <w:r>
        <w:drawing>
          <wp:inline distT="0" distB="0" distL="114300" distR="114300">
            <wp:extent cx="5297805" cy="1101725"/>
            <wp:effectExtent l="0" t="0" r="571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b w:val="0"/>
          <w:bCs/>
        </w:rPr>
      </w:pPr>
      <w:r>
        <w:rPr>
          <w:rFonts w:hint="eastAsia" w:ascii="微软雅黑" w:hAnsi="微软雅黑" w:eastAsia="微软雅黑"/>
          <w:b w:val="0"/>
          <w:bCs/>
          <w:kern w:val="0"/>
          <w:sz w:val="24"/>
          <w:szCs w:val="24"/>
          <w:lang w:bidi="ar"/>
        </w:rPr>
        <w:t>1、</w:t>
      </w:r>
      <w:r>
        <w:rPr>
          <w:rFonts w:ascii="微软雅黑" w:hAnsi="微软雅黑" w:eastAsia="微软雅黑"/>
          <w:b w:val="0"/>
          <w:bCs/>
          <w:kern w:val="0"/>
          <w:sz w:val="24"/>
          <w:szCs w:val="24"/>
          <w:lang w:bidi="ar"/>
        </w:rPr>
        <w:t xml:space="preserve">双汇 2014-2018 年应收票据占营业收入的比率分别为： 0.05%、0.08%、0.12%、0.05%、0.13%，这个比率很低 ，没有异常。 </w:t>
      </w:r>
    </w:p>
    <w:p>
      <w:pPr>
        <w:widowControl/>
        <w:jc w:val="left"/>
        <w:rPr>
          <w:rFonts w:ascii="微软雅黑" w:hAnsi="微软雅黑" w:eastAsia="微软雅黑"/>
          <w:b w:val="0"/>
          <w:bCs/>
          <w:sz w:val="24"/>
          <w:szCs w:val="24"/>
        </w:rPr>
      </w:pP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2、双汇2014-2018年应收账款与营业收入的比率分别为：0.28%、0.29%、0.19%、0.27%、0.2%。双汇连续5年的应收账款与营业收入的比率非常小，没有异常。（由于两个应收的占比极小，正常来说分析到这里即可）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3、我们再看一下应收账款的计提规则（2017年），看标准是否严格。我们打开年报搜索应收账款，可以看到（再与同行业比较）：</w:t>
      </w:r>
    </w:p>
    <w:p>
      <w:pPr>
        <w:rPr>
          <w:rFonts w:ascii="微软雅黑" w:hAnsi="微软雅黑" w:eastAsia="微软雅黑"/>
          <w:bCs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22205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再具体看看双汇发展应收账款的账龄（2017年），看应收账款的质量如何。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19983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可以看到：1年以上账龄几乎为0可以忽略不计，说明双汇应收账款质量特别高。</w:t>
      </w:r>
    </w:p>
    <w:p>
      <w:pPr>
        <w:rPr>
          <w:rFonts w:ascii="微软雅黑" w:hAnsi="微软雅黑" w:eastAsia="微软雅黑"/>
          <w:bCs/>
          <w:sz w:val="24"/>
          <w:szCs w:val="24"/>
        </w:rPr>
      </w:pP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</w:rPr>
        <w:t>3、</w:t>
      </w:r>
      <w:r>
        <w:rPr>
          <w:rFonts w:ascii="微软雅黑" w:hAnsi="微软雅黑" w:eastAsia="微软雅黑"/>
          <w:bCs/>
        </w:rPr>
        <w:t>分析异常情况的原因</w:t>
      </w:r>
    </w:p>
    <w:p>
      <w:pPr>
        <w:rPr>
          <w:rFonts w:hint="eastAsia"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此时发现应收账款占营业收入比值非常小，平均不足0.3%，这种情况我们完全不用分析它的异常原因，因为对公司影响有限，即使对应收账款来说有一个增减变化，但是对于整个公司而言微乎其微，完全可以忽略。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4、根据分析结果，得出结论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根据数据结果，结合经验分析得应收账款、应收票据这个科目是否有风险，如果有，具体有什么风险呢？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二、预付款项 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1、分析思路</w:t>
      </w:r>
    </w:p>
    <w:p>
      <w:pPr>
        <w:pStyle w:val="10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101850"/>
            <wp:effectExtent l="0" t="0" r="2540" b="0"/>
            <wp:docPr id="15" name="图片 15" descr="C:\Users\lenovo\AppData\Local\Temp\WeChat Files\21414da8ecd44457517ee842a8652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lenovo\AppData\Local\Temp\WeChat Files\21414da8ecd44457517ee842a8652b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</w:p>
    <w:p>
      <w:pPr>
        <w:pStyle w:val="10"/>
        <w:numPr>
          <w:ilvl w:val="0"/>
          <w:numId w:val="2"/>
        </w:numPr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数据收集汇总：预付账款、营业收入</w:t>
      </w:r>
    </w:p>
    <w:p>
      <w:pPr>
        <w:pStyle w:val="10"/>
        <w:ind w:firstLine="0" w:firstLineChars="0"/>
      </w:pPr>
      <w:r>
        <w:drawing>
          <wp:inline distT="0" distB="0" distL="0" distR="0">
            <wp:extent cx="5274310" cy="101663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firstLine="0" w:firstLineChars="0"/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预付账款与营业收入比率均不足3%，说明双汇行业地位较高，竞争力强。</w:t>
      </w: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3、</w:t>
      </w:r>
      <w:r>
        <w:rPr>
          <w:rFonts w:ascii="微软雅黑" w:hAnsi="微软雅黑" w:eastAsia="微软雅黑"/>
          <w:bCs/>
        </w:rPr>
        <w:t>分析异常情况的原因</w:t>
      </w:r>
    </w:p>
    <w:p>
      <w:pPr>
        <w:rPr>
          <w:rFonts w:hint="eastAsia"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此时发现预付账款占营业收入比值非常小，平均不足0.2%，这种情况我们完全不用分析它的异常原因，因为对公司影响有限，即使对预付账款来说有一个增减变化，但是对于整个公司而言微乎其微，完全可以忽略。</w:t>
      </w:r>
    </w:p>
    <w:p>
      <w:pPr>
        <w:rPr>
          <w:rFonts w:ascii="微软雅黑" w:hAnsi="微软雅黑" w:eastAsia="微软雅黑"/>
          <w:bCs/>
          <w:sz w:val="24"/>
          <w:szCs w:val="24"/>
        </w:rPr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4、根据分析结果，得出结论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根据分析结果，得出预付账款这个科目是否有风险，如果有，具体有什么风险呢？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</w:p>
    <w:p>
      <w:pPr>
        <w:rPr>
          <w:rFonts w:ascii="微软雅黑" w:hAnsi="微软雅黑" w:eastAsia="微软雅黑"/>
          <w:b w:val="0"/>
          <w:bCs/>
        </w:rPr>
      </w:pPr>
      <w:r>
        <w:rPr>
          <w:rFonts w:hint="eastAsia" w:ascii="微软雅黑" w:hAnsi="微软雅黑" w:eastAsia="微软雅黑"/>
        </w:rPr>
        <w:t xml:space="preserve">三、其他应收款 </w:t>
      </w:r>
    </w:p>
    <w:p>
      <w:pPr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1、分析思路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ascii="微软雅黑" w:hAnsi="微软雅黑" w:eastAsia="微软雅黑"/>
          <w:b w:val="0"/>
          <w:bCs/>
          <w:sz w:val="24"/>
          <w:szCs w:val="24"/>
        </w:rPr>
        <w:drawing>
          <wp:inline distT="0" distB="0" distL="0" distR="0">
            <wp:extent cx="5274310" cy="1933575"/>
            <wp:effectExtent l="0" t="0" r="2540" b="9525"/>
            <wp:docPr id="18" name="图片 18" descr="C:\Users\lenovo\AppData\Local\Temp\WeChat Files\578bcd81465a74f8001a9119eed36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lenovo\AppData\Local\Temp\WeChat Files\578bcd81465a74f8001a9119eed36a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2、数据收集汇总：其他应收款、营业收入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9906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其他应收款占营业收入不足0.2%，可以忽略不计。无异常。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3、</w:t>
      </w:r>
      <w:r>
        <w:rPr>
          <w:rFonts w:ascii="微软雅黑" w:hAnsi="微软雅黑" w:eastAsia="微软雅黑"/>
          <w:bCs/>
        </w:rPr>
        <w:t>分析异常情况的原因</w:t>
      </w:r>
    </w:p>
    <w:p>
      <w:pPr>
        <w:ind w:left="120"/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其他应收款没有异常</w:t>
      </w:r>
    </w:p>
    <w:p>
      <w:pPr>
        <w:rPr>
          <w:rFonts w:ascii="微软雅黑" w:hAnsi="微软雅黑" w:eastAsia="微软雅黑"/>
          <w:bCs/>
        </w:rPr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4、根据分析结果，得出结论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根据分析结果，得出其他应收款这个科目是否有风险，如果有，具体有什么风险？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</w:p>
    <w:p>
      <w:pPr>
        <w:rPr>
          <w:rFonts w:ascii="微软雅黑" w:hAnsi="微软雅黑" w:eastAsia="微软雅黑"/>
          <w:b w:val="0"/>
          <w:bCs/>
        </w:rPr>
      </w:pPr>
      <w:r>
        <w:rPr>
          <w:rFonts w:hint="eastAsia" w:ascii="微软雅黑" w:hAnsi="微软雅黑" w:eastAsia="微软雅黑"/>
          <w:bCs/>
        </w:rPr>
        <w:t xml:space="preserve">四、存货 </w:t>
      </w:r>
    </w:p>
    <w:p>
      <w:pPr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1、分析思路</w:t>
      </w:r>
    </w:p>
    <w:p>
      <w:pPr>
        <w:rPr>
          <w:rFonts w:ascii="微软雅黑" w:hAnsi="微软雅黑" w:eastAsia="微软雅黑"/>
          <w:bCs/>
          <w:sz w:val="24"/>
          <w:szCs w:val="24"/>
        </w:rPr>
      </w:pPr>
      <w:r>
        <w:drawing>
          <wp:inline distT="0" distB="0" distL="0" distR="0">
            <wp:extent cx="5486400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Cs/>
          <w:sz w:val="24"/>
          <w:szCs w:val="24"/>
        </w:rPr>
      </w:pPr>
    </w:p>
    <w:p>
      <w:pPr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b w:val="0"/>
        </w:rPr>
        <w:t>、</w:t>
      </w:r>
      <w:r>
        <w:rPr>
          <w:rFonts w:hint="eastAsia" w:ascii="微软雅黑" w:hAnsi="微软雅黑" w:eastAsia="微软雅黑"/>
        </w:rPr>
        <w:t>数据收集汇总：存货、营业收入</w:t>
      </w:r>
    </w:p>
    <w:p>
      <w:r>
        <w:drawing>
          <wp:inline distT="0" distB="0" distL="0" distR="0">
            <wp:extent cx="5276850" cy="13620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双汇存货与营业收入的比率分别是：8.14%、7.57%、6.21%、5.79%、8.64%。连续4年的比率稳步下降中,并且5年比率都小于10%，非常不错。但2018年比值上升较大。这个异常情况需要重点关注。</w:t>
      </w:r>
    </w:p>
    <w:p>
      <w:pPr>
        <w:rPr>
          <w:rFonts w:ascii="微软雅黑" w:hAnsi="微软雅黑" w:eastAsia="微软雅黑"/>
          <w:b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sz w:val="24"/>
          <w:szCs w:val="24"/>
        </w:rPr>
        <w:t>我们看一下双汇的存货是否计提了跌价准备：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drawing>
          <wp:inline distT="0" distB="0" distL="114300" distR="114300">
            <wp:extent cx="5272405" cy="1423035"/>
            <wp:effectExtent l="0" t="0" r="635" b="9525"/>
            <wp:docPr id="7" name="图片 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我们发现双汇存货计提了减值损失，说明会减少当期的账面利润，利润质量也更高，更可信，利润的持续性就会比较高，利润变脸的概率就非常小。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3、</w:t>
      </w:r>
      <w:r>
        <w:rPr>
          <w:rFonts w:ascii="微软雅黑" w:hAnsi="微软雅黑" w:eastAsia="微软雅黑"/>
          <w:bCs/>
        </w:rPr>
        <w:t>分析异常情况的原因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我们发现2018年存货较2017年有一个大幅增加，我们看一下年报的解释</w:t>
      </w:r>
    </w:p>
    <w:p>
      <w:r>
        <w:drawing>
          <wp:inline distT="0" distB="0" distL="114300" distR="114300">
            <wp:extent cx="5610225" cy="5143500"/>
            <wp:effectExtent l="0" t="0" r="9525" b="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年报中说，主要是由于本期库存商品和开发成本的增加。我们知道2018年有一个非洲猪瘟的问题，所以说，这个行业整体在2018年略显疲软是这个行业的现象，并不影响双汇在存货这里还是很优秀的。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4、根据分析结果，得出结论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根据分析结果，得出存货这个科目是否有风险，如果有，具体有什么风险？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五、其他流动资产 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1、分析思路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617980"/>
            <wp:effectExtent l="0" t="0" r="2540" b="1270"/>
            <wp:docPr id="13" name="图片 13" descr="C:\Users\lenovo\AppData\Local\Temp\WeChat Files\bf6f8304b46faba05d4e0c42e83c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lenovo\AppData\Local\Temp\WeChat Files\bf6f8304b46faba05d4e0c42e83c7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数据收集汇总：其他流动资产、总资产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62245" cy="11620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sz w:val="24"/>
          <w:szCs w:val="24"/>
        </w:rPr>
        <w:t>其他流动资产金额波动还是很大的。2014年和2015年其他流动资产占总资产的比率大于3%，需要看下其他流动资产构成情况并具体分析下。</w:t>
      </w:r>
    </w:p>
    <w:p>
      <w:pPr>
        <w:rPr>
          <w:rFonts w:ascii="微软雅黑" w:hAnsi="微软雅黑" w:eastAsia="微软雅黑"/>
          <w:b w:val="0"/>
          <w:sz w:val="24"/>
          <w:szCs w:val="24"/>
        </w:rPr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3、</w:t>
      </w:r>
      <w:r>
        <w:rPr>
          <w:rFonts w:ascii="微软雅黑" w:hAnsi="微软雅黑" w:eastAsia="微软雅黑"/>
          <w:bCs/>
        </w:rPr>
        <w:t>分析异常情况的原因</w:t>
      </w:r>
    </w:p>
    <w:p>
      <w:pPr>
        <w:rPr>
          <w:rFonts w:ascii="微软雅黑" w:hAnsi="微软雅黑" w:eastAsia="微软雅黑"/>
          <w:b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sz w:val="24"/>
          <w:szCs w:val="24"/>
        </w:rPr>
        <w:t>以2015年举例，2015年其他流动资产占总资产的比率达到12.26%，查找一下明细</w:t>
      </w:r>
    </w:p>
    <w:p>
      <w:pPr>
        <w:rPr>
          <w:rFonts w:ascii="微软雅黑" w:hAnsi="微软雅黑" w:eastAsia="微软雅黑"/>
          <w:b w:val="0"/>
          <w:sz w:val="24"/>
          <w:szCs w:val="24"/>
        </w:rPr>
      </w:pPr>
      <w:r>
        <w:drawing>
          <wp:inline distT="0" distB="0" distL="114300" distR="114300">
            <wp:extent cx="6638925" cy="2397760"/>
            <wp:effectExtent l="0" t="0" r="9525" b="254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sz w:val="24"/>
          <w:szCs w:val="24"/>
        </w:rPr>
        <w:t>我们发现里面有理财产品，那么算一下理财产品占其他流动资产比例，结果接近92%，说明大部分都是因为理财产品，没有问题。</w:t>
      </w:r>
    </w:p>
    <w:p>
      <w:pPr>
        <w:rPr>
          <w:rFonts w:ascii="微软雅黑" w:hAnsi="微软雅黑" w:eastAsia="微软雅黑"/>
          <w:b w:val="0"/>
          <w:sz w:val="24"/>
          <w:szCs w:val="24"/>
        </w:rPr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4、根据分析结果，得出结论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</w:rPr>
        <w:t>根据分析结果，得出其他流动资产这个科目是否有风险，如果有，具体有什么风险？</w:t>
      </w:r>
    </w:p>
    <w:p>
      <w:pPr>
        <w:rPr>
          <w:rFonts w:ascii="微软雅黑" w:hAnsi="微软雅黑" w:eastAsia="微软雅黑"/>
          <w:b w:val="0"/>
          <w:bCs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134" w:right="567" w:bottom="1134" w:left="140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630D4A"/>
    <w:multiLevelType w:val="singleLevel"/>
    <w:tmpl w:val="BF630D4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571EA76"/>
    <w:multiLevelType w:val="singleLevel"/>
    <w:tmpl w:val="D571EA76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7229013B"/>
    <w:multiLevelType w:val="singleLevel"/>
    <w:tmpl w:val="7229013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52"/>
    <w:rsid w:val="0000362F"/>
    <w:rsid w:val="000E76D0"/>
    <w:rsid w:val="001017A6"/>
    <w:rsid w:val="00193398"/>
    <w:rsid w:val="001C48F6"/>
    <w:rsid w:val="001E6103"/>
    <w:rsid w:val="001F4D84"/>
    <w:rsid w:val="002B1505"/>
    <w:rsid w:val="002B6F5E"/>
    <w:rsid w:val="00372C2A"/>
    <w:rsid w:val="003A4326"/>
    <w:rsid w:val="003D4799"/>
    <w:rsid w:val="00490502"/>
    <w:rsid w:val="00523AEB"/>
    <w:rsid w:val="0054129D"/>
    <w:rsid w:val="00580B01"/>
    <w:rsid w:val="005A0EEC"/>
    <w:rsid w:val="005A71E5"/>
    <w:rsid w:val="005C0E21"/>
    <w:rsid w:val="005F7DE1"/>
    <w:rsid w:val="0066056F"/>
    <w:rsid w:val="007373B7"/>
    <w:rsid w:val="007E5793"/>
    <w:rsid w:val="00874B04"/>
    <w:rsid w:val="008827C0"/>
    <w:rsid w:val="008C5418"/>
    <w:rsid w:val="008E561F"/>
    <w:rsid w:val="008E5F63"/>
    <w:rsid w:val="008F1A17"/>
    <w:rsid w:val="00970465"/>
    <w:rsid w:val="009E2A6F"/>
    <w:rsid w:val="009F1136"/>
    <w:rsid w:val="00A1595C"/>
    <w:rsid w:val="00A42A6C"/>
    <w:rsid w:val="00A43DB8"/>
    <w:rsid w:val="00A83A43"/>
    <w:rsid w:val="00B901C6"/>
    <w:rsid w:val="00BB2349"/>
    <w:rsid w:val="00C04E3E"/>
    <w:rsid w:val="00D133FF"/>
    <w:rsid w:val="00D97FD5"/>
    <w:rsid w:val="00DA1688"/>
    <w:rsid w:val="00E16BFF"/>
    <w:rsid w:val="00E17BDD"/>
    <w:rsid w:val="00E53F74"/>
    <w:rsid w:val="00E67CE7"/>
    <w:rsid w:val="00EC3F8E"/>
    <w:rsid w:val="00F20B52"/>
    <w:rsid w:val="00F641AF"/>
    <w:rsid w:val="00FE2FF1"/>
    <w:rsid w:val="00FF1D1C"/>
    <w:rsid w:val="03581A4D"/>
    <w:rsid w:val="085B630D"/>
    <w:rsid w:val="08DA567A"/>
    <w:rsid w:val="0CFC27F1"/>
    <w:rsid w:val="167723CD"/>
    <w:rsid w:val="1AA347F1"/>
    <w:rsid w:val="1D1837BC"/>
    <w:rsid w:val="21430D27"/>
    <w:rsid w:val="2A0F68F5"/>
    <w:rsid w:val="2A61405A"/>
    <w:rsid w:val="2D0C6CB2"/>
    <w:rsid w:val="2FD637F7"/>
    <w:rsid w:val="392C2437"/>
    <w:rsid w:val="3B12553D"/>
    <w:rsid w:val="3F651360"/>
    <w:rsid w:val="4060088C"/>
    <w:rsid w:val="46D90344"/>
    <w:rsid w:val="492D58A3"/>
    <w:rsid w:val="4BAE7418"/>
    <w:rsid w:val="52100E1B"/>
    <w:rsid w:val="522E53FC"/>
    <w:rsid w:val="566E68CA"/>
    <w:rsid w:val="61766458"/>
    <w:rsid w:val="631B7364"/>
    <w:rsid w:val="67873153"/>
    <w:rsid w:val="68597BC3"/>
    <w:rsid w:val="6A6739D2"/>
    <w:rsid w:val="78C831F0"/>
    <w:rsid w:val="7F0B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b/>
      <w:color w:val="000000" w:themeColor="text1"/>
      <w:kern w:val="2"/>
      <w:sz w:val="28"/>
      <w:szCs w:val="28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theme="minorBidi"/>
      <w:b w:val="0"/>
      <w:color w:val="auto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/>
      <w:b w:val="0"/>
      <w:color w:val="auto"/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cs="微软雅黑"/>
      <w:b/>
      <w:color w:val="000000" w:themeColor="text1"/>
      <w:sz w:val="18"/>
      <w:szCs w:val="18"/>
      <w14:textFill>
        <w14:solidFill>
          <w14:schemeClr w14:val="tx1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247</Words>
  <Characters>1408</Characters>
  <Lines>11</Lines>
  <Paragraphs>3</Paragraphs>
  <TotalTime>6</TotalTime>
  <ScaleCrop>false</ScaleCrop>
  <LinksUpToDate>false</LinksUpToDate>
  <CharactersWithSpaces>1652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2020-03-22T08:53:00Z</dcterms:created>
  <dc:creator>xia tian</dc:creator>
  <cp:lastModifiedBy>大庆</cp:lastModifiedBy>
  <dcterms:modified xsi:type="dcterms:W3CDTF">2020-04-01T14:09:30Z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