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F8" w:rsidRDefault="0024169D">
      <w:pPr>
        <w:pStyle w:val="a9"/>
        <w:ind w:left="420" w:firstLineChars="100" w:firstLine="28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第13周玩转案例分析</w:t>
      </w:r>
    </w:p>
    <w:p w:rsidR="00AE0AF8" w:rsidRDefault="0024169D">
      <w:pPr>
        <w:ind w:leftChars="-303" w:left="-848" w:firstLineChars="300" w:firstLine="7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本周作业重点分析</w:t>
      </w:r>
      <w:r>
        <w:rPr>
          <w:rFonts w:ascii="微软雅黑" w:eastAsia="微软雅黑" w:hAnsi="微软雅黑" w:hint="eastAsia"/>
        </w:rPr>
        <w:t>：</w:t>
      </w:r>
    </w:p>
    <w:p w:rsidR="00AE0AF8" w:rsidRDefault="0024169D">
      <w:pPr>
        <w:pStyle w:val="a9"/>
        <w:ind w:leftChars="-99" w:hangingChars="99" w:hanging="277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9390" cy="1565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F8" w:rsidRDefault="00AE0AF8">
      <w:pPr>
        <w:pStyle w:val="a9"/>
        <w:ind w:left="420" w:firstLineChars="100" w:firstLine="280"/>
        <w:rPr>
          <w:rFonts w:ascii="微软雅黑" w:eastAsia="微软雅黑" w:hAnsi="微软雅黑"/>
        </w:rPr>
      </w:pPr>
    </w:p>
    <w:p w:rsidR="00AE0AF8" w:rsidRDefault="0024169D">
      <w:pPr>
        <w:pStyle w:val="a9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可供出售金融资产</w:t>
      </w:r>
    </w:p>
    <w:p w:rsidR="00AE0AF8" w:rsidRDefault="002416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1、分析思路：</w:t>
      </w:r>
    </w:p>
    <w:p w:rsidR="00AE0AF8" w:rsidRDefault="00D67F0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DCA316E" wp14:editId="100D881F">
            <wp:extent cx="5274310" cy="19223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F8" w:rsidRDefault="00AE0A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E0AF8" w:rsidRDefault="0024169D">
      <w:pPr>
        <w:numPr>
          <w:ilvl w:val="0"/>
          <w:numId w:val="2"/>
        </w:num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数据收集汇总：可供出售金融资产、总资产</w:t>
      </w:r>
    </w:p>
    <w:p w:rsidR="00AE0AF8" w:rsidRDefault="0024169D">
      <w:pPr>
        <w:rPr>
          <w:rFonts w:ascii="微软雅黑" w:eastAsia="微软雅黑" w:hAnsi="微软雅黑"/>
          <w:bCs/>
        </w:rPr>
      </w:pPr>
      <w:r>
        <w:rPr>
          <w:noProof/>
        </w:rPr>
        <w:drawing>
          <wp:inline distT="0" distB="0" distL="114300" distR="114300">
            <wp:extent cx="5271770" cy="993140"/>
            <wp:effectExtent l="0" t="0" r="1270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F8" w:rsidRDefault="0024169D">
      <w:pPr>
        <w:widowControl/>
        <w:jc w:val="left"/>
        <w:rPr>
          <w:rFonts w:ascii="微软雅黑" w:eastAsia="微软雅黑" w:hAnsi="微软雅黑"/>
          <w:b w:val="0"/>
          <w:bCs/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双汇发展2014-2018年可供出售金融资产分别为：0、0、0.34亿、0.45亿，0.45亿，</w:t>
      </w:r>
      <w:r>
        <w:rPr>
          <w:rFonts w:ascii="微软雅黑" w:eastAsia="微软雅黑" w:hAnsi="微软雅黑"/>
          <w:b w:val="0"/>
          <w:bCs/>
          <w:kern w:val="0"/>
          <w:sz w:val="24"/>
          <w:szCs w:val="24"/>
          <w:lang w:bidi="ar"/>
        </w:rPr>
        <w:t>可供出售金融资产占总资产比率不超过 0.2%</w:t>
      </w:r>
      <w:r>
        <w:rPr>
          <w:rFonts w:ascii="微软雅黑" w:eastAsia="微软雅黑" w:hAnsi="微软雅黑" w:hint="eastAsia"/>
          <w:b w:val="0"/>
          <w:bCs/>
          <w:kern w:val="0"/>
          <w:sz w:val="24"/>
          <w:szCs w:val="24"/>
          <w:lang w:bidi="ar"/>
        </w:rPr>
        <w:t>，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占总资产的比率极小。</w:t>
      </w:r>
    </w:p>
    <w:p w:rsidR="00D67F0A" w:rsidRDefault="00D67F0A">
      <w:pPr>
        <w:widowControl/>
        <w:jc w:val="left"/>
        <w:rPr>
          <w:rFonts w:ascii="微软雅黑" w:eastAsia="微软雅黑" w:hAnsi="微软雅黑"/>
          <w:b w:val="0"/>
          <w:bCs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3、</w:t>
      </w:r>
      <w:r>
        <w:rPr>
          <w:rFonts w:ascii="微软雅黑" w:eastAsia="微软雅黑" w:hAnsi="微软雅黑"/>
          <w:bCs/>
          <w:sz w:val="24"/>
          <w:szCs w:val="24"/>
        </w:rPr>
        <w:t>分析异常情况的原因</w:t>
      </w:r>
    </w:p>
    <w:p w:rsidR="00AE0AF8" w:rsidRDefault="0024169D">
      <w:pPr>
        <w:rPr>
          <w:rFonts w:ascii="微软雅黑" w:eastAsia="微软雅黑" w:hAnsi="微软雅黑"/>
          <w:b w:val="0"/>
          <w:bCs/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lastRenderedPageBreak/>
        <w:t>可供出售金融资产科目无异常。</w:t>
      </w:r>
    </w:p>
    <w:p w:rsidR="00AE0AF8" w:rsidRDefault="00AE0AF8">
      <w:pPr>
        <w:rPr>
          <w:rFonts w:ascii="微软雅黑" w:eastAsia="微软雅黑" w:hAnsi="微软雅黑"/>
          <w:bCs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4、根据分析结果，得出结论</w:t>
      </w:r>
    </w:p>
    <w:p w:rsidR="00AE0AF8" w:rsidRDefault="0024169D">
      <w:pPr>
        <w:rPr>
          <w:rFonts w:ascii="微软雅黑" w:eastAsia="微软雅黑" w:hAnsi="微软雅黑"/>
          <w:b w:val="0"/>
          <w:bCs/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根据分析结果，可供出售金融资产这个科目是否有风险，如果有</w:t>
      </w:r>
      <w:r>
        <w:rPr>
          <w:rFonts w:ascii="微软雅黑" w:eastAsia="微软雅黑" w:hAnsi="微软雅黑" w:hint="eastAsia"/>
          <w:b w:val="0"/>
          <w:bCs/>
          <w:sz w:val="22"/>
          <w:szCs w:val="24"/>
        </w:rPr>
        <w:t>，具体有什么风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险？</w:t>
      </w:r>
    </w:p>
    <w:p w:rsidR="00AE0AF8" w:rsidRDefault="00AE0AF8">
      <w:pPr>
        <w:rPr>
          <w:rFonts w:ascii="微软雅黑" w:eastAsia="微软雅黑" w:hAnsi="微软雅黑"/>
          <w:bCs/>
          <w:sz w:val="24"/>
          <w:szCs w:val="24"/>
        </w:rPr>
      </w:pPr>
    </w:p>
    <w:p w:rsidR="00AE0AF8" w:rsidRDefault="0024169D">
      <w:pPr>
        <w:pStyle w:val="a9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长期股权投资</w:t>
      </w: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1、分析思路</w:t>
      </w:r>
    </w:p>
    <w:p w:rsidR="00AE0AF8" w:rsidRDefault="00D67F0A">
      <w:pPr>
        <w:jc w:val="left"/>
      </w:pPr>
      <w:r>
        <w:rPr>
          <w:noProof/>
        </w:rPr>
        <w:drawing>
          <wp:inline distT="0" distB="0" distL="0" distR="0" wp14:anchorId="68B98FD8" wp14:editId="1B61F8A1">
            <wp:extent cx="5274310" cy="13387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F8" w:rsidRDefault="00AE0AF8">
      <w:pPr>
        <w:jc w:val="left"/>
      </w:pPr>
    </w:p>
    <w:p w:rsidR="00AE0AF8" w:rsidRDefault="0024169D">
      <w:pPr>
        <w:widowControl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b w:val="0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数据收集汇总：</w:t>
      </w:r>
      <w:r>
        <w:rPr>
          <w:rFonts w:ascii="微软雅黑" w:eastAsia="微软雅黑" w:hAnsi="微软雅黑" w:hint="eastAsia"/>
          <w:bCs/>
          <w:sz w:val="24"/>
          <w:szCs w:val="24"/>
        </w:rPr>
        <w:t>长期股权投资、净利润、</w:t>
      </w:r>
      <w:r>
        <w:rPr>
          <w:rFonts w:ascii="微软雅黑" w:eastAsia="微软雅黑" w:hAnsi="微软雅黑" w:hint="eastAsia"/>
          <w:kern w:val="0"/>
          <w:sz w:val="24"/>
          <w:szCs w:val="24"/>
          <w:lang w:bidi="ar"/>
        </w:rPr>
        <w:t>权益法核算的长期股权投资收益</w:t>
      </w:r>
    </w:p>
    <w:p w:rsidR="00AE0AF8" w:rsidRDefault="0024169D">
      <w:pPr>
        <w:jc w:val="left"/>
      </w:pPr>
      <w:r>
        <w:rPr>
          <w:noProof/>
        </w:rPr>
        <w:drawing>
          <wp:inline distT="0" distB="0" distL="114300" distR="114300">
            <wp:extent cx="5267960" cy="1271270"/>
            <wp:effectExtent l="0" t="0" r="508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F8" w:rsidRDefault="0024169D">
      <w:pPr>
        <w:rPr>
          <w:rFonts w:ascii="微软雅黑" w:eastAsia="微软雅黑" w:hAnsi="微软雅黑"/>
          <w:b w:val="0"/>
          <w:bCs/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长期股权投资的投资收益占净利润的比重为</w:t>
      </w:r>
      <w:r>
        <w:rPr>
          <w:rFonts w:ascii="微软雅黑" w:eastAsia="微软雅黑" w:hAnsi="微软雅黑"/>
          <w:b w:val="0"/>
          <w:bCs/>
          <w:sz w:val="24"/>
          <w:szCs w:val="24"/>
        </w:rPr>
        <w:t>0.24%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、</w:t>
      </w:r>
      <w:r>
        <w:rPr>
          <w:rFonts w:ascii="微软雅黑" w:eastAsia="微软雅黑" w:hAnsi="微软雅黑"/>
          <w:b w:val="0"/>
          <w:bCs/>
          <w:sz w:val="24"/>
          <w:szCs w:val="24"/>
        </w:rPr>
        <w:t>0.19%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、</w:t>
      </w:r>
      <w:r>
        <w:rPr>
          <w:rFonts w:ascii="微软雅黑" w:eastAsia="微软雅黑" w:hAnsi="微软雅黑"/>
          <w:b w:val="0"/>
          <w:bCs/>
          <w:sz w:val="24"/>
          <w:szCs w:val="24"/>
        </w:rPr>
        <w:t>0.40%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、</w:t>
      </w:r>
      <w:r>
        <w:rPr>
          <w:rFonts w:ascii="微软雅黑" w:eastAsia="微软雅黑" w:hAnsi="微软雅黑"/>
          <w:b w:val="0"/>
          <w:bCs/>
          <w:sz w:val="24"/>
          <w:szCs w:val="24"/>
        </w:rPr>
        <w:t>0.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34</w:t>
      </w:r>
      <w:r>
        <w:rPr>
          <w:rFonts w:ascii="微软雅黑" w:eastAsia="微软雅黑" w:hAnsi="微软雅黑"/>
          <w:b w:val="0"/>
          <w:bCs/>
          <w:sz w:val="24"/>
          <w:szCs w:val="24"/>
        </w:rPr>
        <w:t>%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、</w:t>
      </w:r>
      <w:r>
        <w:rPr>
          <w:rFonts w:ascii="微软雅黑" w:eastAsia="微软雅黑" w:hAnsi="微软雅黑"/>
          <w:b w:val="0"/>
          <w:bCs/>
          <w:sz w:val="24"/>
          <w:szCs w:val="24"/>
        </w:rPr>
        <w:t>0.30%</w:t>
      </w:r>
      <w:r>
        <w:rPr>
          <w:rFonts w:ascii="微软雅黑" w:eastAsia="微软雅黑" w:hAnsi="微软雅黑" w:hint="eastAsia"/>
          <w:b w:val="0"/>
          <w:bCs/>
          <w:sz w:val="24"/>
          <w:szCs w:val="24"/>
        </w:rPr>
        <w:t>，占比非常小，对净利润的影响不大。</w:t>
      </w:r>
    </w:p>
    <w:p w:rsidR="00AE0AF8" w:rsidRDefault="00AE0AF8">
      <w:pPr>
        <w:rPr>
          <w:rFonts w:ascii="微软雅黑" w:eastAsia="微软雅黑" w:hAnsi="微软雅黑"/>
          <w:bCs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3、</w:t>
      </w:r>
      <w:r>
        <w:rPr>
          <w:rFonts w:ascii="微软雅黑" w:eastAsia="微软雅黑" w:hAnsi="微软雅黑"/>
          <w:bCs/>
          <w:sz w:val="24"/>
          <w:szCs w:val="24"/>
        </w:rPr>
        <w:t>分析异常情况的原因</w:t>
      </w:r>
    </w:p>
    <w:p w:rsidR="00AE0AF8" w:rsidRDefault="0024169D">
      <w:pPr>
        <w:rPr>
          <w:rFonts w:ascii="微软雅黑" w:eastAsia="微软雅黑" w:hAnsi="微软雅黑"/>
          <w:b w:val="0"/>
          <w:bCs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长期股权投资科目没有异常。</w:t>
      </w:r>
    </w:p>
    <w:p w:rsidR="00AE0AF8" w:rsidRDefault="00AE0AF8">
      <w:pPr>
        <w:rPr>
          <w:rFonts w:ascii="微软雅黑" w:eastAsia="微软雅黑" w:hAnsi="微软雅黑"/>
          <w:bCs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4、根据分析结果，得出结论</w:t>
      </w:r>
    </w:p>
    <w:p w:rsidR="00AE0AF8" w:rsidRDefault="0024169D">
      <w:pPr>
        <w:rPr>
          <w:rFonts w:ascii="微软雅黑" w:eastAsia="微软雅黑" w:hAnsi="微软雅黑"/>
          <w:b w:val="0"/>
          <w:bCs/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根据分析结果，得出长期股权投资科目是否有风险？如果有，有什么风险？</w:t>
      </w:r>
    </w:p>
    <w:p w:rsidR="00AE0AF8" w:rsidRDefault="00AE0AF8">
      <w:pPr>
        <w:rPr>
          <w:rFonts w:ascii="微软雅黑" w:eastAsia="微软雅黑" w:hAnsi="微软雅黑"/>
          <w:b w:val="0"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三、投资性房地产</w:t>
      </w:r>
    </w:p>
    <w:p w:rsidR="00AE0AF8" w:rsidRDefault="002416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1、分析思路</w:t>
      </w:r>
    </w:p>
    <w:p w:rsidR="00AE0AF8" w:rsidRDefault="0024169D">
      <w:pPr>
        <w:rPr>
          <w:rFonts w:ascii="微软雅黑" w:eastAsia="微软雅黑" w:hAnsi="微软雅黑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F55FE35" wp14:editId="1B445959">
            <wp:extent cx="5274310" cy="237466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F8" w:rsidRDefault="00AE0AF8">
      <w:pPr>
        <w:rPr>
          <w:rFonts w:ascii="微软雅黑" w:eastAsia="微软雅黑" w:hAnsi="微软雅黑"/>
          <w:b w:val="0"/>
          <w:sz w:val="24"/>
          <w:szCs w:val="24"/>
        </w:rPr>
      </w:pPr>
    </w:p>
    <w:p w:rsidR="00AE0AF8" w:rsidRDefault="0024169D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b w:val="0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数据收集汇总：</w:t>
      </w:r>
      <w:r>
        <w:rPr>
          <w:rFonts w:ascii="微软雅黑" w:eastAsia="微软雅黑" w:hAnsi="微软雅黑" w:hint="eastAsia"/>
          <w:bCs/>
          <w:sz w:val="24"/>
          <w:szCs w:val="24"/>
        </w:rPr>
        <w:t>投资性房地产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bCs/>
          <w:sz w:val="24"/>
          <w:szCs w:val="24"/>
        </w:rPr>
        <w:t>总资产</w:t>
      </w:r>
    </w:p>
    <w:p w:rsidR="00AE0AF8" w:rsidRDefault="0024169D">
      <w:pPr>
        <w:rPr>
          <w:rFonts w:ascii="微软雅黑" w:eastAsia="微软雅黑" w:hAnsi="微软雅黑"/>
          <w:b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251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F8" w:rsidRDefault="0024169D">
      <w:p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2014-2018年双汇的投资性房地产为0。</w:t>
      </w:r>
    </w:p>
    <w:p w:rsidR="00AE0AF8" w:rsidRDefault="0024169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 w:val="0"/>
          <w:bCs/>
          <w:sz w:val="24"/>
          <w:szCs w:val="24"/>
        </w:rPr>
        <w:t>这个科目没有异常，也没有风险。</w:t>
      </w:r>
    </w:p>
    <w:sectPr w:rsidR="00AE0AF8">
      <w:pgSz w:w="11906" w:h="16838"/>
      <w:pgMar w:top="1134" w:right="1800" w:bottom="1134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15D02D"/>
    <w:multiLevelType w:val="singleLevel"/>
    <w:tmpl w:val="D315D02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F7961C4"/>
    <w:multiLevelType w:val="multilevel"/>
    <w:tmpl w:val="2F7961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28D"/>
    <w:rsid w:val="00054C3D"/>
    <w:rsid w:val="00057EF5"/>
    <w:rsid w:val="00070ABB"/>
    <w:rsid w:val="000F64DC"/>
    <w:rsid w:val="00155EF6"/>
    <w:rsid w:val="0015644B"/>
    <w:rsid w:val="00173BE8"/>
    <w:rsid w:val="00186BC0"/>
    <w:rsid w:val="001A530A"/>
    <w:rsid w:val="00240BC2"/>
    <w:rsid w:val="0024169D"/>
    <w:rsid w:val="002A146B"/>
    <w:rsid w:val="003C50A1"/>
    <w:rsid w:val="00444B78"/>
    <w:rsid w:val="004A6FC9"/>
    <w:rsid w:val="004C20FA"/>
    <w:rsid w:val="004F4A16"/>
    <w:rsid w:val="00507E79"/>
    <w:rsid w:val="00510E69"/>
    <w:rsid w:val="00513E6F"/>
    <w:rsid w:val="005416F3"/>
    <w:rsid w:val="0060187B"/>
    <w:rsid w:val="00647A9C"/>
    <w:rsid w:val="006D6354"/>
    <w:rsid w:val="006E7112"/>
    <w:rsid w:val="00714A26"/>
    <w:rsid w:val="00734754"/>
    <w:rsid w:val="00744953"/>
    <w:rsid w:val="00771A6D"/>
    <w:rsid w:val="007B3819"/>
    <w:rsid w:val="007E5468"/>
    <w:rsid w:val="0087720C"/>
    <w:rsid w:val="008801E5"/>
    <w:rsid w:val="008C5361"/>
    <w:rsid w:val="00996C7D"/>
    <w:rsid w:val="00A360DE"/>
    <w:rsid w:val="00A750D2"/>
    <w:rsid w:val="00AA30AD"/>
    <w:rsid w:val="00AE0AF8"/>
    <w:rsid w:val="00B82A16"/>
    <w:rsid w:val="00BB27C0"/>
    <w:rsid w:val="00D67F0A"/>
    <w:rsid w:val="00D70174"/>
    <w:rsid w:val="00E40A59"/>
    <w:rsid w:val="00E60351"/>
    <w:rsid w:val="00F30272"/>
    <w:rsid w:val="00F54BD9"/>
    <w:rsid w:val="00FC128D"/>
    <w:rsid w:val="00FE073B"/>
    <w:rsid w:val="0445633B"/>
    <w:rsid w:val="04F51207"/>
    <w:rsid w:val="08F57896"/>
    <w:rsid w:val="0C424AC8"/>
    <w:rsid w:val="10D17625"/>
    <w:rsid w:val="176625B9"/>
    <w:rsid w:val="186C58FD"/>
    <w:rsid w:val="1EE23828"/>
    <w:rsid w:val="22941881"/>
    <w:rsid w:val="2B601F24"/>
    <w:rsid w:val="2FA37FBF"/>
    <w:rsid w:val="33FC06C8"/>
    <w:rsid w:val="42294811"/>
    <w:rsid w:val="433D53FB"/>
    <w:rsid w:val="441B45BD"/>
    <w:rsid w:val="495D1F15"/>
    <w:rsid w:val="4F0F515C"/>
    <w:rsid w:val="548C06F1"/>
    <w:rsid w:val="564E3950"/>
    <w:rsid w:val="5A3F2D81"/>
    <w:rsid w:val="5B4E2BE0"/>
    <w:rsid w:val="5BEE7848"/>
    <w:rsid w:val="5E1B43D0"/>
    <w:rsid w:val="6196344E"/>
    <w:rsid w:val="636918BF"/>
    <w:rsid w:val="642450FF"/>
    <w:rsid w:val="69D86470"/>
    <w:rsid w:val="6A531300"/>
    <w:rsid w:val="6FA7512E"/>
    <w:rsid w:val="78DB6A65"/>
    <w:rsid w:val="795E472D"/>
    <w:rsid w:val="797C2D2E"/>
    <w:rsid w:val="7B7D538E"/>
    <w:rsid w:val="7D4D035E"/>
    <w:rsid w:val="7FE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48C"/>
  <w15:docId w15:val="{D416F5BD-FBDB-4C07-A336-DBB9232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微软雅黑"/>
      <w:b/>
      <w:color w:val="000000" w:themeColor="text1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cs="微软雅黑"/>
      <w:b/>
      <w:color w:val="000000" w:themeColor="text1"/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tian</dc:creator>
  <cp:lastModifiedBy>wang xu</cp:lastModifiedBy>
  <cp:revision>32</cp:revision>
  <cp:lastPrinted>2019-04-20T07:45:00Z</cp:lastPrinted>
  <dcterms:created xsi:type="dcterms:W3CDTF">2019-11-30T08:28:00Z</dcterms:created>
  <dcterms:modified xsi:type="dcterms:W3CDTF">2020-05-06T12:46:00Z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