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第1</w:t>
      </w:r>
      <w:r>
        <w:rPr>
          <w:rFonts w:ascii="微软雅黑" w:hAnsi="微软雅黑" w:eastAsia="微软雅黑"/>
          <w:b/>
          <w:sz w:val="28"/>
          <w:szCs w:val="28"/>
        </w:rPr>
        <w:t>4</w:t>
      </w:r>
      <w:r>
        <w:rPr>
          <w:rFonts w:hint="eastAsia" w:ascii="微软雅黑" w:hAnsi="微软雅黑" w:eastAsia="微软雅黑"/>
          <w:b/>
          <w:sz w:val="28"/>
          <w:szCs w:val="28"/>
        </w:rPr>
        <w:t>周玩转案例分析</w:t>
      </w:r>
    </w:p>
    <w:p>
      <w:pPr>
        <w:jc w:val="center"/>
        <w:rPr>
          <w:rFonts w:ascii="微软雅黑" w:hAnsi="微软雅黑" w:eastAsia="微软雅黑"/>
          <w:b/>
          <w:szCs w:val="21"/>
        </w:rPr>
      </w:pPr>
    </w:p>
    <w:p>
      <w:pPr>
        <w:ind w:left="-636" w:leftChars="-303" w:firstLine="720" w:firstLineChars="3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本周作业重点分析</w:t>
      </w:r>
      <w:r>
        <w:rPr>
          <w:rFonts w:hint="eastAsia" w:ascii="微软雅黑" w:hAnsi="微软雅黑" w:eastAsia="微软雅黑"/>
          <w:b/>
        </w:rPr>
        <w:t>：</w:t>
      </w:r>
    </w:p>
    <w:p>
      <w:pPr>
        <w:rPr>
          <w:rFonts w:ascii="微软雅黑" w:hAnsi="微软雅黑" w:eastAsia="微软雅黑"/>
          <w:b/>
          <w:szCs w:val="21"/>
        </w:rPr>
      </w:pPr>
      <w:r>
        <w:drawing>
          <wp:inline distT="0" distB="0" distL="0" distR="0">
            <wp:extent cx="5272405" cy="2435225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固定资产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1、分析思路：</w:t>
      </w:r>
    </w:p>
    <w:p>
      <w:r>
        <w:drawing>
          <wp:inline distT="0" distB="0" distL="114300" distR="114300">
            <wp:extent cx="5270500" cy="2418080"/>
            <wp:effectExtent l="0" t="0" r="635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数据收集汇总：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固定资产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、总资产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942975"/>
            <wp:effectExtent l="0" t="0" r="444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再搜索折旧方法和减值准备与同行业比较，以2017年为例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双汇折旧方法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10225" cy="18288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海天折旧方法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96000" cy="20574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双汇减值方法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34735" cy="3196590"/>
            <wp:effectExtent l="0" t="0" r="1841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、分析异常情况的原因</w:t>
      </w:r>
    </w:p>
    <w:p>
      <w:pPr>
        <w:rPr>
          <w:rFonts w:hint="default" w:ascii="微软雅黑" w:hAnsi="微软雅黑" w:eastAsia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固定资产没有明显增加或减少，无异常情况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4、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根据分析结果，得出结论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1、双汇属于重资产行业相对风险较高</w:t>
      </w:r>
    </w:p>
    <w:p>
      <w:pP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2、折旧计提方法相对于海天，折旧年限更长，每期折旧率更低，会增加当期利润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3、双汇减值一直都有计提，说明很谨慎，</w:t>
      </w: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虽然</w:t>
      </w:r>
      <w:r>
        <w:rPr>
          <w:rFonts w:hint="eastAsia" w:ascii="微软雅黑" w:hAnsi="微软雅黑" w:eastAsia="微软雅黑"/>
          <w:bCs/>
          <w:sz w:val="24"/>
          <w:szCs w:val="24"/>
        </w:rPr>
        <w:t>计提的折旧较少，</w:t>
      </w: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但是</w:t>
      </w:r>
      <w:r>
        <w:rPr>
          <w:rFonts w:hint="eastAsia" w:ascii="微软雅黑" w:hAnsi="微软雅黑" w:eastAsia="微软雅黑"/>
          <w:bCs/>
          <w:sz w:val="24"/>
          <w:szCs w:val="24"/>
        </w:rPr>
        <w:t>计提减值相对较多，因为减值和折旧都影响利润，所以总体来看影响不大</w:t>
      </w:r>
    </w:p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二、在建工程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/>
          <w:szCs w:val="21"/>
        </w:rPr>
      </w:pPr>
      <w:r>
        <w:drawing>
          <wp:inline distT="0" distB="0" distL="114300" distR="114300">
            <wp:extent cx="5273675" cy="2086610"/>
            <wp:effectExtent l="0" t="0" r="317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hint="default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2、数据收集汇总：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在建工程</w:t>
      </w:r>
      <w:r>
        <w:rPr>
          <w:rFonts w:hint="eastAsia" w:ascii="微软雅黑" w:hAnsi="微软雅黑" w:eastAsia="微软雅黑"/>
          <w:b/>
          <w:sz w:val="24"/>
          <w:szCs w:val="24"/>
        </w:rPr>
        <w:t>、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总资产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ab/>
      </w:r>
    </w:p>
    <w:p>
      <w:pPr>
        <w:rPr>
          <w:rFonts w:ascii="微软雅黑" w:hAnsi="微软雅黑" w:eastAsia="微软雅黑"/>
          <w:bCs/>
          <w:szCs w:val="21"/>
        </w:rPr>
      </w:pPr>
      <w:r>
        <w:drawing>
          <wp:inline distT="0" distB="0" distL="114300" distR="114300">
            <wp:extent cx="5273040" cy="667385"/>
            <wp:effectExtent l="0" t="0" r="381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、分析异常情况的原因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2017年在建工程的金额大幅减少，我们需要看一下原因：</w:t>
      </w:r>
    </w:p>
    <w:p>
      <w:pPr>
        <w:rPr>
          <w:rFonts w:ascii="微软雅黑" w:hAnsi="微软雅黑" w:eastAsia="微软雅黑"/>
          <w:b/>
          <w:szCs w:val="21"/>
        </w:rPr>
      </w:pPr>
      <w:r>
        <w:drawing>
          <wp:inline distT="0" distB="0" distL="114300" distR="114300">
            <wp:extent cx="5273040" cy="3415665"/>
            <wp:effectExtent l="0" t="0" r="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双汇2017年在建工程新增加了5.53亿的资金，有9.3亿转为了固定资产。在建工程转成固定资产说明在使用了，这是好事情。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、根据分析结果，得出结论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根据分析结果，得出在建工程科目是否有风险？如果有，有什么风险？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三、无形资产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/>
          <w:bCs/>
          <w:szCs w:val="21"/>
        </w:rPr>
      </w:pPr>
      <w:r>
        <w:drawing>
          <wp:inline distT="0" distB="0" distL="114300" distR="114300">
            <wp:extent cx="5273675" cy="21291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bCs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2，</w:t>
      </w:r>
      <w:r>
        <w:rPr>
          <w:rFonts w:hint="eastAsia" w:ascii="微软雅黑" w:hAnsi="微软雅黑" w:eastAsia="微软雅黑"/>
          <w:b/>
          <w:sz w:val="24"/>
          <w:szCs w:val="24"/>
        </w:rPr>
        <w:t>数据收集汇总：无形资产、总资产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24535"/>
            <wp:effectExtent l="0" t="0" r="7620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3，查找无形资产异常</w:t>
      </w:r>
    </w:p>
    <w:p>
      <w:pPr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drawing>
          <wp:inline distT="0" distB="0" distL="114300" distR="114300">
            <wp:extent cx="5272405" cy="755015"/>
            <wp:effectExtent l="0" t="0" r="635" b="6985"/>
            <wp:docPr id="37" name="图片 3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drawing>
          <wp:inline distT="0" distB="0" distL="114300" distR="114300">
            <wp:extent cx="5274310" cy="693420"/>
            <wp:effectExtent l="0" t="0" r="13970" b="7620"/>
            <wp:docPr id="38" name="图片 3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2017年举例，</w:t>
      </w:r>
      <w:r>
        <w:rPr>
          <w:rFonts w:hint="eastAsia" w:ascii="微软雅黑" w:hAnsi="微软雅黑" w:eastAsia="微软雅黑"/>
          <w:sz w:val="24"/>
          <w:szCs w:val="24"/>
        </w:rPr>
        <w:t>双汇的无形资产中大概92%左右是土地使用权。土地使用权的摊销年限为40-50年，没有什么问题。双汇的无形资产没有计提过减值准备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bCs/>
          <w:szCs w:val="21"/>
        </w:rPr>
        <w:drawing>
          <wp:inline distT="0" distB="0" distL="0" distR="0">
            <wp:extent cx="5274310" cy="1992630"/>
            <wp:effectExtent l="0" t="0" r="2540" b="7620"/>
            <wp:docPr id="11" name="图片 11" descr="C:\Users\derek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derek\Desktop\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114300" distR="114300">
            <wp:extent cx="5267960" cy="2024380"/>
            <wp:effectExtent l="0" t="0" r="5080" b="2540"/>
            <wp:docPr id="39" name="图片 3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由于中国的地价整体一直在上涨，所以土地使用权没有计提减值损失，这也是正常的。</w:t>
      </w:r>
    </w:p>
    <w:p>
      <w:pPr>
        <w:rPr>
          <w:rFonts w:ascii="微软雅黑" w:hAnsi="微软雅黑" w:eastAsia="微软雅黑"/>
          <w:b/>
          <w:bCs/>
          <w:szCs w:val="21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4、</w:t>
      </w:r>
      <w:r>
        <w:rPr>
          <w:rFonts w:ascii="微软雅黑" w:hAnsi="微软雅黑" w:eastAsia="微软雅黑"/>
          <w:b/>
          <w:bCs/>
          <w:sz w:val="24"/>
          <w:szCs w:val="24"/>
        </w:rPr>
        <w:t>分析异常情况的原因</w:t>
      </w:r>
    </w:p>
    <w:p>
      <w:r>
        <w:rPr>
          <w:rFonts w:hint="eastAsia" w:ascii="微软雅黑" w:hAnsi="微软雅黑" w:eastAsia="微软雅黑"/>
          <w:sz w:val="24"/>
          <w:szCs w:val="24"/>
        </w:rPr>
        <w:t>双汇无形资产这个科目没有异常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5、根据分析结果，得出结论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根据分析结果，得出无形资产科目是否有风险？如果有，有什么风险？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四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、</w:t>
      </w:r>
      <w:r>
        <w:rPr>
          <w:rFonts w:ascii="微软雅黑" w:hAnsi="微软雅黑" w:eastAsia="微软雅黑"/>
          <w:b/>
          <w:bCs/>
          <w:sz w:val="28"/>
          <w:szCs w:val="28"/>
        </w:rPr>
        <w:t>商誉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1、分析思路</w:t>
      </w:r>
    </w:p>
    <w:p>
      <w:pPr>
        <w:rPr>
          <w:rFonts w:ascii="微软雅黑" w:hAnsi="微软雅黑" w:eastAsia="微软雅黑"/>
          <w:b/>
          <w:szCs w:val="21"/>
        </w:rPr>
      </w:pPr>
      <w:r>
        <w:drawing>
          <wp:inline distT="0" distB="0" distL="114300" distR="114300">
            <wp:extent cx="5268595" cy="2604770"/>
            <wp:effectExtent l="0" t="0" r="8255" b="50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2、数据收集汇总：商誉、总资产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A、商誉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drawing>
          <wp:inline distT="0" distB="0" distL="0" distR="0">
            <wp:extent cx="5200650" cy="5892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我们可以看到双汇的商誉科目为0，这说明双汇没有对外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溢价</w:t>
      </w:r>
      <w:r>
        <w:rPr>
          <w:rFonts w:hint="eastAsia" w:ascii="微软雅黑" w:hAnsi="微软雅黑" w:eastAsia="微软雅黑"/>
          <w:sz w:val="24"/>
          <w:szCs w:val="24"/>
        </w:rPr>
        <w:t>收购过公司，这是好事情。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、根据分析结果，得出结论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商誉这个科目没有异常，也没有风险。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五</w:t>
      </w:r>
      <w:r>
        <w:rPr>
          <w:rFonts w:hint="eastAsia" w:ascii="微软雅黑" w:hAnsi="微软雅黑" w:eastAsia="微软雅黑"/>
          <w:b/>
          <w:sz w:val="28"/>
          <w:szCs w:val="28"/>
        </w:rPr>
        <w:t>、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长期待摊费用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drawing>
          <wp:inline distT="0" distB="0" distL="114300" distR="114300">
            <wp:extent cx="5267960" cy="2089150"/>
            <wp:effectExtent l="0" t="0" r="889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/>
          <w:b/>
          <w:sz w:val="24"/>
          <w:szCs w:val="24"/>
        </w:rPr>
        <w:t>数据收集汇总：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长期待摊费用、总资产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drawing>
          <wp:inline distT="0" distB="0" distL="114300" distR="114300">
            <wp:extent cx="5270500" cy="9829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长期待摊费用与总资产的比率分别是：0.41%、0.32%、0.29%、0.29%、0.33%。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我们可以看到双汇连续5年的长期待摊费用与总资产的比率均不高于0.4%，比率很小，没有什么异常。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</w:t>
      </w:r>
      <w:r>
        <w:rPr>
          <w:rFonts w:ascii="微软雅黑" w:hAnsi="微软雅黑" w:eastAsia="微软雅黑"/>
          <w:b/>
          <w:bCs/>
          <w:sz w:val="24"/>
          <w:szCs w:val="24"/>
        </w:rPr>
        <w:t>分析异常情况的原因</w:t>
      </w:r>
    </w:p>
    <w:p>
      <w:pPr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双汇的长期待摊费用没有异常</w:t>
      </w:r>
      <w:r>
        <w:rPr>
          <w:rFonts w:hint="eastAsia" w:ascii="微软雅黑" w:hAnsi="微软雅黑" w:eastAsia="微软雅黑"/>
          <w:bCs/>
          <w:szCs w:val="21"/>
        </w:rPr>
        <w:t>。</w:t>
      </w:r>
    </w:p>
    <w:p>
      <w:pPr>
        <w:rPr>
          <w:rFonts w:ascii="微软雅黑" w:hAnsi="微软雅黑" w:eastAsia="微软雅黑"/>
          <w:bCs/>
          <w:szCs w:val="21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、根据分析结果，得出结论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根据分析结果，得出长期待摊费用科目是否有风险？如果有，有什么风险？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六、其他非流动资产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1、分析思路</w:t>
      </w:r>
    </w:p>
    <w:p>
      <w:pPr>
        <w:rPr>
          <w:rFonts w:ascii="微软雅黑" w:hAnsi="微软雅黑" w:eastAsia="微软雅黑"/>
          <w:b/>
          <w:szCs w:val="21"/>
        </w:rPr>
      </w:pPr>
      <w:r>
        <w:drawing>
          <wp:inline distT="0" distB="0" distL="114300" distR="114300">
            <wp:extent cx="5272405" cy="1629410"/>
            <wp:effectExtent l="0" t="0" r="444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数据收集汇总：其他非流动资产、总资产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sz w:val="24"/>
          <w:szCs w:val="24"/>
        </w:rPr>
      </w:pPr>
      <w:r>
        <w:drawing>
          <wp:inline distT="0" distB="0" distL="114300" distR="114300">
            <wp:extent cx="5270500" cy="8743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2014-2018年，双汇发展其他非流动资产与总资产的比率分别是：0.5%、0.19%、0.03%、0.02%、0.03%。连续5年的比率不超过0.5%，金额比较小，没有什么异常。</w:t>
      </w:r>
      <w:bookmarkStart w:id="0" w:name="_GoBack"/>
      <w:bookmarkEnd w:id="0"/>
    </w:p>
    <w:p>
      <w:pPr>
        <w:rPr>
          <w:rFonts w:ascii="微软雅黑" w:hAnsi="微软雅黑" w:eastAsia="微软雅黑"/>
          <w:bCs/>
          <w:sz w:val="24"/>
          <w:szCs w:val="24"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、分析异常情况的原因</w:t>
      </w:r>
    </w:p>
    <w:p>
      <w:pPr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其他非流动资产科目没有异常。</w:t>
      </w: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、根据分析结果，得出结论</w:t>
      </w:r>
    </w:p>
    <w:p>
      <w:pPr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根据分析结果，得出其他非流动资产科目是否有风险？如果有，有什么风险？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582C"/>
    <w:multiLevelType w:val="singleLevel"/>
    <w:tmpl w:val="1AE9582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F7961C4"/>
    <w:multiLevelType w:val="multilevel"/>
    <w:tmpl w:val="2F7961C4"/>
    <w:lvl w:ilvl="0" w:tentative="0">
      <w:start w:val="1"/>
      <w:numFmt w:val="japaneseCounting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1C952"/>
    <w:multiLevelType w:val="singleLevel"/>
    <w:tmpl w:val="7A51C9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CD"/>
    <w:rsid w:val="00001CCA"/>
    <w:rsid w:val="000122E9"/>
    <w:rsid w:val="000F0BB0"/>
    <w:rsid w:val="001416B5"/>
    <w:rsid w:val="00144449"/>
    <w:rsid w:val="00160023"/>
    <w:rsid w:val="00185CD1"/>
    <w:rsid w:val="001934FF"/>
    <w:rsid w:val="001C5C36"/>
    <w:rsid w:val="001D25CD"/>
    <w:rsid w:val="001F3D45"/>
    <w:rsid w:val="00241CE0"/>
    <w:rsid w:val="00283816"/>
    <w:rsid w:val="00305499"/>
    <w:rsid w:val="00334F20"/>
    <w:rsid w:val="003846A6"/>
    <w:rsid w:val="003E472C"/>
    <w:rsid w:val="004635E5"/>
    <w:rsid w:val="00474511"/>
    <w:rsid w:val="005321DB"/>
    <w:rsid w:val="0053278D"/>
    <w:rsid w:val="00561976"/>
    <w:rsid w:val="005B2184"/>
    <w:rsid w:val="00644706"/>
    <w:rsid w:val="00681830"/>
    <w:rsid w:val="006A7935"/>
    <w:rsid w:val="006D138C"/>
    <w:rsid w:val="006F2E2A"/>
    <w:rsid w:val="006F3BF3"/>
    <w:rsid w:val="006F5A69"/>
    <w:rsid w:val="007311C9"/>
    <w:rsid w:val="00737F2C"/>
    <w:rsid w:val="00750226"/>
    <w:rsid w:val="007C2504"/>
    <w:rsid w:val="007E3EBE"/>
    <w:rsid w:val="008452F6"/>
    <w:rsid w:val="00863DC8"/>
    <w:rsid w:val="008B1418"/>
    <w:rsid w:val="00953E37"/>
    <w:rsid w:val="00993ADB"/>
    <w:rsid w:val="009B152C"/>
    <w:rsid w:val="009C4FAB"/>
    <w:rsid w:val="00A61705"/>
    <w:rsid w:val="00A75C52"/>
    <w:rsid w:val="00A83274"/>
    <w:rsid w:val="00AF3DE4"/>
    <w:rsid w:val="00B47259"/>
    <w:rsid w:val="00BB2AF8"/>
    <w:rsid w:val="00BD1363"/>
    <w:rsid w:val="00BE0DE6"/>
    <w:rsid w:val="00C00E74"/>
    <w:rsid w:val="00C11506"/>
    <w:rsid w:val="00C85AC9"/>
    <w:rsid w:val="00C974CE"/>
    <w:rsid w:val="00CB23A5"/>
    <w:rsid w:val="00CD6965"/>
    <w:rsid w:val="00D6011C"/>
    <w:rsid w:val="00DA4BB7"/>
    <w:rsid w:val="00DB626D"/>
    <w:rsid w:val="00E0562F"/>
    <w:rsid w:val="00E432D8"/>
    <w:rsid w:val="00E450FD"/>
    <w:rsid w:val="00E605E8"/>
    <w:rsid w:val="00E656B7"/>
    <w:rsid w:val="00F03D71"/>
    <w:rsid w:val="00F10004"/>
    <w:rsid w:val="00F41DA0"/>
    <w:rsid w:val="00FB31BB"/>
    <w:rsid w:val="00FF0EC0"/>
    <w:rsid w:val="0FAD7C7F"/>
    <w:rsid w:val="18642CD3"/>
    <w:rsid w:val="1F662081"/>
    <w:rsid w:val="23717DF3"/>
    <w:rsid w:val="265C5414"/>
    <w:rsid w:val="3E6D1082"/>
    <w:rsid w:val="527A47A4"/>
    <w:rsid w:val="70A75568"/>
    <w:rsid w:val="7CE1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rFonts w:cs="微软雅黑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397</Words>
  <Characters>2268</Characters>
  <Lines>18</Lines>
  <Paragraphs>5</Paragraphs>
  <TotalTime>8</TotalTime>
  <ScaleCrop>false</ScaleCrop>
  <LinksUpToDate>false</LinksUpToDate>
  <CharactersWithSpaces>2660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2019-12-01T04:17:00Z</dcterms:created>
  <dc:creator>xia tian</dc:creator>
  <cp:lastModifiedBy>shiny0108</cp:lastModifiedBy>
  <cp:lastPrinted>2019-04-30T08:18:00Z</cp:lastPrinted>
  <dcterms:modified xsi:type="dcterms:W3CDTF">2020-03-11T08:08:50Z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