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D12" w:rsidRDefault="00874C7E">
      <w:pPr>
        <w:jc w:val="center"/>
        <w:rPr>
          <w:rFonts w:ascii="微软雅黑" w:eastAsia="微软雅黑" w:hAnsi="微软雅黑"/>
        </w:rPr>
      </w:pPr>
      <w:r>
        <w:rPr>
          <w:rFonts w:ascii="微软雅黑" w:eastAsia="微软雅黑" w:hAnsi="微软雅黑" w:hint="eastAsia"/>
        </w:rPr>
        <w:t>第1</w:t>
      </w:r>
      <w:r>
        <w:rPr>
          <w:rFonts w:ascii="微软雅黑" w:eastAsia="微软雅黑" w:hAnsi="微软雅黑"/>
        </w:rPr>
        <w:t>5</w:t>
      </w:r>
      <w:r>
        <w:rPr>
          <w:rFonts w:ascii="微软雅黑" w:eastAsia="微软雅黑" w:hAnsi="微软雅黑" w:hint="eastAsia"/>
        </w:rPr>
        <w:t>周玩转案例分析</w:t>
      </w:r>
    </w:p>
    <w:p w:rsidR="006F4D12" w:rsidRDefault="006F4D12">
      <w:pPr>
        <w:jc w:val="center"/>
        <w:rPr>
          <w:rFonts w:ascii="微软雅黑" w:eastAsia="微软雅黑" w:hAnsi="微软雅黑"/>
          <w:sz w:val="21"/>
          <w:szCs w:val="21"/>
        </w:rPr>
      </w:pPr>
    </w:p>
    <w:p w:rsidR="006F4D12" w:rsidRDefault="00874C7E">
      <w:pPr>
        <w:ind w:leftChars="-303" w:left="-848" w:firstLineChars="300" w:firstLine="840"/>
        <w:jc w:val="left"/>
        <w:rPr>
          <w:rFonts w:ascii="微软雅黑" w:eastAsia="微软雅黑" w:hAnsi="微软雅黑"/>
        </w:rPr>
      </w:pPr>
      <w:r>
        <w:rPr>
          <w:rFonts w:ascii="微软雅黑" w:eastAsia="微软雅黑" w:hAnsi="微软雅黑" w:hint="eastAsia"/>
        </w:rPr>
        <w:t>本周作业重点分析：</w:t>
      </w:r>
    </w:p>
    <w:p w:rsidR="006F4D12" w:rsidRDefault="00142E0E">
      <w:pPr>
        <w:jc w:val="center"/>
        <w:rPr>
          <w:rFonts w:ascii="微软雅黑" w:eastAsia="微软雅黑" w:hAnsi="微软雅黑"/>
          <w:sz w:val="21"/>
          <w:szCs w:val="21"/>
        </w:rPr>
      </w:pPr>
      <w:r>
        <w:rPr>
          <w:noProof/>
        </w:rPr>
        <w:drawing>
          <wp:inline distT="0" distB="0" distL="0" distR="0" wp14:anchorId="0B982585" wp14:editId="636A9277">
            <wp:extent cx="5275004" cy="183832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38083"/>
                    </a:xfrm>
                    <a:prstGeom prst="rect">
                      <a:avLst/>
                    </a:prstGeom>
                  </pic:spPr>
                </pic:pic>
              </a:graphicData>
            </a:graphic>
          </wp:inline>
        </w:drawing>
      </w:r>
    </w:p>
    <w:p w:rsidR="006F4D12" w:rsidRDefault="006F4D12">
      <w:pPr>
        <w:jc w:val="center"/>
        <w:rPr>
          <w:rFonts w:ascii="微软雅黑" w:eastAsia="微软雅黑" w:hAnsi="微软雅黑"/>
          <w:sz w:val="21"/>
          <w:szCs w:val="21"/>
        </w:rPr>
      </w:pPr>
    </w:p>
    <w:p w:rsidR="006F4D12" w:rsidRDefault="00874C7E">
      <w:pPr>
        <w:pStyle w:val="a6"/>
        <w:numPr>
          <w:ilvl w:val="0"/>
          <w:numId w:val="1"/>
        </w:numPr>
        <w:ind w:firstLineChars="0"/>
        <w:jc w:val="left"/>
        <w:rPr>
          <w:rFonts w:ascii="微软雅黑" w:eastAsia="微软雅黑" w:hAnsi="微软雅黑"/>
        </w:rPr>
      </w:pPr>
      <w:r>
        <w:rPr>
          <w:rFonts w:ascii="微软雅黑" w:eastAsia="微软雅黑" w:hAnsi="微软雅黑" w:hint="eastAsia"/>
        </w:rPr>
        <w:t>短期借款</w:t>
      </w:r>
    </w:p>
    <w:p w:rsidR="006F4D12" w:rsidRDefault="00874C7E">
      <w:pPr>
        <w:rPr>
          <w:rFonts w:ascii="微软雅黑" w:eastAsia="微软雅黑" w:hAnsi="微软雅黑"/>
          <w:sz w:val="24"/>
          <w:szCs w:val="24"/>
        </w:rPr>
      </w:pPr>
      <w:r>
        <w:rPr>
          <w:rFonts w:ascii="微软雅黑" w:eastAsia="微软雅黑" w:hAnsi="微软雅黑" w:hint="eastAsia"/>
          <w:sz w:val="24"/>
          <w:szCs w:val="24"/>
        </w:rPr>
        <w:t>1、分析思路：</w:t>
      </w:r>
    </w:p>
    <w:p w:rsidR="006F4D12" w:rsidRDefault="0013756C">
      <w:pPr>
        <w:rPr>
          <w:rFonts w:ascii="微软雅黑" w:eastAsia="微软雅黑" w:hAnsi="微软雅黑"/>
          <w:sz w:val="24"/>
          <w:szCs w:val="24"/>
        </w:rPr>
      </w:pPr>
      <w:r>
        <w:rPr>
          <w:noProof/>
        </w:rPr>
        <w:drawing>
          <wp:inline distT="0" distB="0" distL="0" distR="0" wp14:anchorId="6F1355CF" wp14:editId="6773C9DC">
            <wp:extent cx="5271409" cy="170497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05913"/>
                    </a:xfrm>
                    <a:prstGeom prst="rect">
                      <a:avLst/>
                    </a:prstGeom>
                  </pic:spPr>
                </pic:pic>
              </a:graphicData>
            </a:graphic>
          </wp:inline>
        </w:drawing>
      </w:r>
    </w:p>
    <w:p w:rsidR="006F4D12" w:rsidRDefault="00874C7E">
      <w:pPr>
        <w:numPr>
          <w:ilvl w:val="0"/>
          <w:numId w:val="2"/>
        </w:numPr>
        <w:rPr>
          <w:rFonts w:ascii="微软雅黑" w:eastAsia="微软雅黑" w:hAnsi="微软雅黑"/>
          <w:sz w:val="24"/>
          <w:szCs w:val="24"/>
        </w:rPr>
      </w:pPr>
      <w:r>
        <w:rPr>
          <w:rFonts w:ascii="微软雅黑" w:eastAsia="微软雅黑" w:hAnsi="微软雅黑" w:hint="eastAsia"/>
          <w:sz w:val="24"/>
          <w:szCs w:val="24"/>
        </w:rPr>
        <w:t>数据收集汇总：短期借款</w:t>
      </w:r>
      <w:r w:rsidR="00E8289B">
        <w:rPr>
          <w:rFonts w:ascii="微软雅黑" w:eastAsia="微软雅黑" w:hAnsi="微软雅黑" w:hint="eastAsia"/>
          <w:sz w:val="24"/>
          <w:szCs w:val="24"/>
        </w:rPr>
        <w:t>，准货币资金</w:t>
      </w:r>
      <w:r w:rsidR="00142E0E">
        <w:rPr>
          <w:rFonts w:ascii="微软雅黑" w:eastAsia="微软雅黑" w:hAnsi="微软雅黑" w:hint="eastAsia"/>
          <w:sz w:val="24"/>
          <w:szCs w:val="24"/>
        </w:rPr>
        <w:t>并找出异常</w:t>
      </w:r>
    </w:p>
    <w:p w:rsidR="006F4D12" w:rsidRDefault="00E8289B">
      <w:pPr>
        <w:rPr>
          <w:rFonts w:ascii="微软雅黑" w:eastAsia="微软雅黑" w:hAnsi="微软雅黑"/>
          <w:sz w:val="21"/>
          <w:szCs w:val="21"/>
        </w:rPr>
      </w:pPr>
      <w:r>
        <w:rPr>
          <w:noProof/>
        </w:rPr>
        <w:drawing>
          <wp:inline distT="0" distB="0" distL="0" distR="0" wp14:anchorId="7E6F83CE" wp14:editId="17206A0D">
            <wp:extent cx="5274310" cy="113292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132929"/>
                    </a:xfrm>
                    <a:prstGeom prst="rect">
                      <a:avLst/>
                    </a:prstGeom>
                  </pic:spPr>
                </pic:pic>
              </a:graphicData>
            </a:graphic>
          </wp:inline>
        </w:drawing>
      </w:r>
    </w:p>
    <w:p w:rsidR="00E8289B" w:rsidRDefault="00E8289B" w:rsidP="00E8289B">
      <w:pPr>
        <w:rPr>
          <w:rFonts w:ascii="微软雅黑" w:eastAsia="微软雅黑" w:hAnsi="微软雅黑"/>
          <w:b w:val="0"/>
          <w:sz w:val="24"/>
          <w:szCs w:val="24"/>
        </w:rPr>
      </w:pPr>
      <w:r>
        <w:rPr>
          <w:rFonts w:ascii="微软雅黑" w:eastAsia="微软雅黑" w:hAnsi="微软雅黑" w:hint="eastAsia"/>
          <w:b w:val="0"/>
          <w:bCs/>
          <w:sz w:val="24"/>
          <w:szCs w:val="24"/>
        </w:rPr>
        <w:t>我们可以看到双汇发展连续4年短期借款出现增长，</w:t>
      </w:r>
      <w:r>
        <w:rPr>
          <w:rFonts w:ascii="微软雅黑" w:eastAsia="微软雅黑" w:hAnsi="微软雅黑" w:hint="eastAsia"/>
          <w:b w:val="0"/>
          <w:sz w:val="24"/>
          <w:szCs w:val="24"/>
        </w:rPr>
        <w:t>我们再看一下双汇的准货币资金，看看有没有偿债风险。通过计算可以看出</w:t>
      </w:r>
      <w:r>
        <w:rPr>
          <w:rFonts w:ascii="微软雅黑" w:eastAsia="微软雅黑" w:hAnsi="微软雅黑"/>
          <w:b w:val="0"/>
          <w:sz w:val="24"/>
          <w:szCs w:val="24"/>
        </w:rPr>
        <w:t>双汇的准货币资金连续</w:t>
      </w:r>
      <w:r>
        <w:rPr>
          <w:rFonts w:ascii="微软雅黑" w:eastAsia="微软雅黑" w:hAnsi="微软雅黑" w:hint="eastAsia"/>
          <w:b w:val="0"/>
          <w:sz w:val="24"/>
          <w:szCs w:val="24"/>
        </w:rPr>
        <w:t>5年</w:t>
      </w:r>
      <w:r>
        <w:rPr>
          <w:rFonts w:ascii="微软雅黑" w:eastAsia="微软雅黑" w:hAnsi="微软雅黑"/>
          <w:b w:val="0"/>
          <w:sz w:val="24"/>
          <w:szCs w:val="24"/>
        </w:rPr>
        <w:t>都能覆盖短期借款，</w:t>
      </w:r>
      <w:r>
        <w:rPr>
          <w:rFonts w:ascii="微软雅黑" w:eastAsia="微软雅黑" w:hAnsi="微软雅黑" w:hint="eastAsia"/>
          <w:b w:val="0"/>
          <w:sz w:val="24"/>
          <w:szCs w:val="24"/>
        </w:rPr>
        <w:t>短期内没有偿债风险。如果</w:t>
      </w:r>
      <w:r w:rsidRPr="006B4A7E">
        <w:rPr>
          <w:rFonts w:ascii="微软雅黑" w:eastAsia="微软雅黑" w:hAnsi="微软雅黑" w:hint="eastAsia"/>
          <w:b w:val="0"/>
          <w:sz w:val="24"/>
          <w:szCs w:val="24"/>
        </w:rPr>
        <w:t>有偿债风险，并且还在增加，</w:t>
      </w:r>
      <w:r>
        <w:rPr>
          <w:rFonts w:ascii="微软雅黑" w:eastAsia="微软雅黑" w:hAnsi="微软雅黑" w:hint="eastAsia"/>
          <w:b w:val="0"/>
          <w:sz w:val="24"/>
          <w:szCs w:val="24"/>
        </w:rPr>
        <w:t>那我们就需要</w:t>
      </w:r>
      <w:r w:rsidRPr="006B4A7E">
        <w:rPr>
          <w:rFonts w:ascii="微软雅黑" w:eastAsia="微软雅黑" w:hAnsi="微软雅黑" w:hint="eastAsia"/>
          <w:b w:val="0"/>
          <w:sz w:val="24"/>
          <w:szCs w:val="24"/>
        </w:rPr>
        <w:t>看看明细，是否增加信用以外的借款</w:t>
      </w:r>
      <w:r>
        <w:rPr>
          <w:rFonts w:ascii="微软雅黑" w:eastAsia="微软雅黑" w:hAnsi="微软雅黑" w:hint="eastAsia"/>
          <w:b w:val="0"/>
          <w:sz w:val="24"/>
          <w:szCs w:val="24"/>
        </w:rPr>
        <w:t>。</w:t>
      </w:r>
    </w:p>
    <w:p w:rsidR="00E8289B" w:rsidRDefault="00E8289B" w:rsidP="00E8289B">
      <w:pPr>
        <w:rPr>
          <w:rFonts w:ascii="微软雅黑" w:eastAsia="微软雅黑" w:hAnsi="微软雅黑"/>
          <w:b w:val="0"/>
          <w:sz w:val="24"/>
          <w:szCs w:val="24"/>
        </w:rPr>
      </w:pPr>
    </w:p>
    <w:p w:rsidR="006F4D12" w:rsidRDefault="00874C7E">
      <w:pPr>
        <w:rPr>
          <w:rFonts w:ascii="微软雅黑" w:eastAsia="微软雅黑" w:hAnsi="微软雅黑"/>
          <w:bCs/>
          <w:sz w:val="24"/>
          <w:szCs w:val="24"/>
        </w:rPr>
      </w:pPr>
      <w:r>
        <w:rPr>
          <w:rFonts w:ascii="微软雅黑" w:eastAsia="微软雅黑" w:hAnsi="微软雅黑" w:hint="eastAsia"/>
          <w:bCs/>
          <w:sz w:val="24"/>
          <w:szCs w:val="24"/>
        </w:rPr>
        <w:t>3、分析异常情况的原因</w:t>
      </w:r>
    </w:p>
    <w:p w:rsidR="006F4D12" w:rsidRDefault="00FB76FB">
      <w:pPr>
        <w:rPr>
          <w:rFonts w:ascii="微软雅黑" w:eastAsia="微软雅黑" w:hAnsi="微软雅黑"/>
          <w:b w:val="0"/>
          <w:sz w:val="24"/>
          <w:szCs w:val="24"/>
        </w:rPr>
      </w:pPr>
      <w:r>
        <w:rPr>
          <w:rFonts w:ascii="微软雅黑" w:eastAsia="微软雅黑" w:hAnsi="微软雅黑"/>
          <w:b w:val="0"/>
          <w:sz w:val="24"/>
          <w:szCs w:val="24"/>
        </w:rPr>
        <w:t>没有异常</w:t>
      </w:r>
      <w:r>
        <w:rPr>
          <w:rFonts w:ascii="微软雅黑" w:eastAsia="微软雅黑" w:hAnsi="微软雅黑" w:hint="eastAsia"/>
          <w:b w:val="0"/>
          <w:sz w:val="24"/>
          <w:szCs w:val="24"/>
        </w:rPr>
        <w:t>。</w:t>
      </w:r>
    </w:p>
    <w:p w:rsidR="006F4D12" w:rsidRDefault="006F4D12">
      <w:pPr>
        <w:rPr>
          <w:rFonts w:ascii="微软雅黑" w:eastAsia="微软雅黑" w:hAnsi="微软雅黑"/>
          <w:b w:val="0"/>
          <w:bCs/>
          <w:sz w:val="24"/>
          <w:szCs w:val="24"/>
        </w:rPr>
      </w:pPr>
    </w:p>
    <w:p w:rsidR="006F4D12" w:rsidRDefault="00874C7E">
      <w:pPr>
        <w:rPr>
          <w:rFonts w:ascii="微软雅黑" w:eastAsia="微软雅黑" w:hAnsi="微软雅黑"/>
          <w:bCs/>
          <w:sz w:val="24"/>
          <w:szCs w:val="24"/>
        </w:rPr>
      </w:pPr>
      <w:r>
        <w:rPr>
          <w:rFonts w:ascii="微软雅黑" w:eastAsia="微软雅黑" w:hAnsi="微软雅黑" w:hint="eastAsia"/>
          <w:bCs/>
          <w:sz w:val="24"/>
          <w:szCs w:val="24"/>
        </w:rPr>
        <w:t>4、根据分析结果，得出结论</w:t>
      </w:r>
    </w:p>
    <w:p w:rsidR="006F4D12" w:rsidRDefault="00874C7E">
      <w:pPr>
        <w:rPr>
          <w:rFonts w:ascii="微软雅黑" w:eastAsia="微软雅黑" w:hAnsi="微软雅黑"/>
          <w:b w:val="0"/>
          <w:bCs/>
          <w:sz w:val="24"/>
          <w:szCs w:val="24"/>
        </w:rPr>
      </w:pPr>
      <w:r>
        <w:rPr>
          <w:rFonts w:ascii="微软雅黑" w:eastAsia="微软雅黑" w:hAnsi="微软雅黑" w:hint="eastAsia"/>
          <w:b w:val="0"/>
          <w:bCs/>
          <w:sz w:val="24"/>
          <w:szCs w:val="24"/>
        </w:rPr>
        <w:t>根据分析结果，得出短期借款科目是否有风险，如果有，具体有什么风险？</w:t>
      </w:r>
    </w:p>
    <w:p w:rsidR="006F4D12" w:rsidRDefault="006F4D12">
      <w:pPr>
        <w:rPr>
          <w:rFonts w:ascii="微软雅黑" w:eastAsia="微软雅黑" w:hAnsi="微软雅黑"/>
          <w:b w:val="0"/>
          <w:bCs/>
          <w:sz w:val="21"/>
          <w:szCs w:val="21"/>
        </w:rPr>
      </w:pPr>
    </w:p>
    <w:p w:rsidR="006F4D12" w:rsidRDefault="00874C7E">
      <w:pPr>
        <w:rPr>
          <w:rFonts w:ascii="微软雅黑" w:eastAsia="微软雅黑" w:hAnsi="微软雅黑"/>
          <w:bCs/>
        </w:rPr>
      </w:pPr>
      <w:r>
        <w:rPr>
          <w:rFonts w:ascii="微软雅黑" w:eastAsia="微软雅黑" w:hAnsi="微软雅黑" w:hint="eastAsia"/>
          <w:bCs/>
        </w:rPr>
        <w:t>二、通过应收应付预收预付对上下游情况分析</w:t>
      </w:r>
    </w:p>
    <w:p w:rsidR="006F4D12" w:rsidRDefault="00874C7E">
      <w:pPr>
        <w:rPr>
          <w:rFonts w:ascii="微软雅黑" w:eastAsia="微软雅黑" w:hAnsi="微软雅黑"/>
          <w:bCs/>
          <w:sz w:val="24"/>
          <w:szCs w:val="24"/>
        </w:rPr>
      </w:pPr>
      <w:r>
        <w:rPr>
          <w:rFonts w:ascii="微软雅黑" w:eastAsia="微软雅黑" w:hAnsi="微软雅黑" w:hint="eastAsia"/>
          <w:bCs/>
          <w:sz w:val="24"/>
          <w:szCs w:val="24"/>
        </w:rPr>
        <w:t>1、分析思路</w:t>
      </w:r>
    </w:p>
    <w:p w:rsidR="006F4D12" w:rsidRDefault="0013756C">
      <w:r>
        <w:rPr>
          <w:noProof/>
        </w:rPr>
        <w:drawing>
          <wp:inline distT="0" distB="0" distL="0" distR="0" wp14:anchorId="56E06F2E" wp14:editId="198F35AE">
            <wp:extent cx="5266641" cy="1504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07142"/>
                    </a:xfrm>
                    <a:prstGeom prst="rect">
                      <a:avLst/>
                    </a:prstGeom>
                  </pic:spPr>
                </pic:pic>
              </a:graphicData>
            </a:graphic>
          </wp:inline>
        </w:drawing>
      </w:r>
    </w:p>
    <w:p w:rsidR="006F4D12" w:rsidRDefault="006F4D12"/>
    <w:p w:rsidR="006F4D12" w:rsidRDefault="00874C7E">
      <w:pPr>
        <w:rPr>
          <w:rFonts w:ascii="微软雅黑" w:eastAsia="微软雅黑" w:hAnsi="微软雅黑"/>
          <w:bCs/>
          <w:sz w:val="24"/>
          <w:szCs w:val="24"/>
        </w:rPr>
      </w:pPr>
      <w:r>
        <w:rPr>
          <w:rFonts w:ascii="微软雅黑" w:eastAsia="微软雅黑" w:hAnsi="微软雅黑" w:hint="eastAsia"/>
          <w:sz w:val="24"/>
          <w:szCs w:val="24"/>
        </w:rPr>
        <w:t>2</w:t>
      </w:r>
      <w:r>
        <w:rPr>
          <w:rFonts w:ascii="微软雅黑" w:eastAsia="微软雅黑" w:hAnsi="微软雅黑" w:hint="eastAsia"/>
          <w:b w:val="0"/>
          <w:sz w:val="24"/>
          <w:szCs w:val="24"/>
        </w:rPr>
        <w:t>、</w:t>
      </w:r>
      <w:r>
        <w:rPr>
          <w:rFonts w:ascii="微软雅黑" w:eastAsia="微软雅黑" w:hAnsi="微软雅黑" w:hint="eastAsia"/>
          <w:sz w:val="24"/>
          <w:szCs w:val="24"/>
        </w:rPr>
        <w:t>数据收集汇总：</w:t>
      </w:r>
      <w:r w:rsidR="008F5092">
        <w:rPr>
          <w:rFonts w:ascii="微软雅黑" w:eastAsia="微软雅黑" w:hAnsi="微软雅黑" w:hint="eastAsia"/>
          <w:sz w:val="24"/>
          <w:szCs w:val="24"/>
        </w:rPr>
        <w:t>应付账款、应付票据、预收账款</w:t>
      </w:r>
      <w:r w:rsidR="008F5092">
        <w:rPr>
          <w:rFonts w:ascii="微软雅黑" w:eastAsia="微软雅黑" w:hAnsi="微软雅黑" w:hint="eastAsia"/>
          <w:bCs/>
          <w:sz w:val="24"/>
          <w:szCs w:val="24"/>
        </w:rPr>
        <w:t>、</w:t>
      </w:r>
      <w:r w:rsidR="008F5092">
        <w:rPr>
          <w:rFonts w:ascii="微软雅黑" w:eastAsia="微软雅黑" w:hAnsi="微软雅黑" w:hint="eastAsia"/>
          <w:sz w:val="24"/>
          <w:szCs w:val="24"/>
        </w:rPr>
        <w:t>应收账款、应收票据、预付账款</w:t>
      </w:r>
    </w:p>
    <w:p w:rsidR="006F4D12" w:rsidRDefault="008F5092">
      <w:r>
        <w:rPr>
          <w:noProof/>
        </w:rPr>
        <w:drawing>
          <wp:inline distT="0" distB="0" distL="0" distR="0" wp14:anchorId="22612F3C" wp14:editId="7925A443">
            <wp:extent cx="5270427" cy="21907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192364"/>
                    </a:xfrm>
                    <a:prstGeom prst="rect">
                      <a:avLst/>
                    </a:prstGeom>
                  </pic:spPr>
                </pic:pic>
              </a:graphicData>
            </a:graphic>
          </wp:inline>
        </w:drawing>
      </w:r>
    </w:p>
    <w:p w:rsidR="006F4D12" w:rsidRDefault="00874C7E">
      <w:pPr>
        <w:rPr>
          <w:rFonts w:ascii="微软雅黑" w:eastAsia="微软雅黑" w:hAnsi="微软雅黑"/>
          <w:b w:val="0"/>
          <w:bCs/>
          <w:sz w:val="24"/>
          <w:szCs w:val="24"/>
        </w:rPr>
      </w:pPr>
      <w:r>
        <w:rPr>
          <w:rFonts w:ascii="微软雅黑" w:eastAsia="微软雅黑" w:hAnsi="微软雅黑" w:hint="eastAsia"/>
          <w:b w:val="0"/>
          <w:bCs/>
          <w:sz w:val="24"/>
          <w:szCs w:val="24"/>
        </w:rPr>
        <w:t>应</w:t>
      </w:r>
      <w:r w:rsidR="008F5092">
        <w:rPr>
          <w:rFonts w:ascii="微软雅黑" w:eastAsia="微软雅黑" w:hAnsi="微软雅黑" w:hint="eastAsia"/>
          <w:b w:val="0"/>
          <w:bCs/>
          <w:sz w:val="24"/>
          <w:szCs w:val="24"/>
        </w:rPr>
        <w:t>付预收</w:t>
      </w:r>
      <w:r>
        <w:rPr>
          <w:rFonts w:ascii="微软雅黑" w:eastAsia="微软雅黑" w:hAnsi="微软雅黑" w:hint="eastAsia"/>
          <w:b w:val="0"/>
          <w:bCs/>
          <w:sz w:val="24"/>
          <w:szCs w:val="24"/>
        </w:rPr>
        <w:t>大于</w:t>
      </w:r>
      <w:r w:rsidR="008F5092">
        <w:rPr>
          <w:rFonts w:ascii="微软雅黑" w:eastAsia="微软雅黑" w:hAnsi="微软雅黑" w:hint="eastAsia"/>
          <w:b w:val="0"/>
          <w:bCs/>
          <w:sz w:val="24"/>
          <w:szCs w:val="24"/>
        </w:rPr>
        <w:t>应</w:t>
      </w:r>
      <w:r>
        <w:rPr>
          <w:rFonts w:ascii="微软雅黑" w:eastAsia="微软雅黑" w:hAnsi="微软雅黑" w:hint="eastAsia"/>
          <w:b w:val="0"/>
          <w:bCs/>
          <w:sz w:val="24"/>
          <w:szCs w:val="24"/>
        </w:rPr>
        <w:t>收预付，说明双汇无偿占用下游资金，行业地位高，且通过前面</w:t>
      </w:r>
      <w:r>
        <w:rPr>
          <w:rFonts w:ascii="微软雅黑" w:eastAsia="微软雅黑" w:hAnsi="微软雅黑" w:hint="eastAsia"/>
          <w:b w:val="0"/>
          <w:bCs/>
          <w:sz w:val="24"/>
          <w:szCs w:val="24"/>
        </w:rPr>
        <w:lastRenderedPageBreak/>
        <w:t>分析得出，双汇并没有偿债风险</w:t>
      </w:r>
      <w:r w:rsidR="008F5092">
        <w:rPr>
          <w:rFonts w:ascii="微软雅黑" w:eastAsia="微软雅黑" w:hAnsi="微软雅黑" w:hint="eastAsia"/>
          <w:b w:val="0"/>
          <w:bCs/>
          <w:sz w:val="24"/>
          <w:szCs w:val="24"/>
        </w:rPr>
        <w:t>。</w:t>
      </w:r>
    </w:p>
    <w:p w:rsidR="008F5092" w:rsidRDefault="008F5092">
      <w:pPr>
        <w:rPr>
          <w:rFonts w:ascii="微软雅黑" w:eastAsia="微软雅黑" w:hAnsi="微软雅黑"/>
          <w:b w:val="0"/>
          <w:bCs/>
          <w:sz w:val="24"/>
          <w:szCs w:val="24"/>
        </w:rPr>
      </w:pPr>
    </w:p>
    <w:p w:rsidR="006F4D12" w:rsidRDefault="00874C7E">
      <w:pPr>
        <w:rPr>
          <w:rFonts w:ascii="微软雅黑" w:eastAsia="微软雅黑" w:hAnsi="微软雅黑"/>
          <w:bCs/>
        </w:rPr>
      </w:pPr>
      <w:r>
        <w:rPr>
          <w:rFonts w:ascii="微软雅黑" w:eastAsia="微软雅黑" w:hAnsi="微软雅黑" w:hint="eastAsia"/>
          <w:bCs/>
          <w:sz w:val="24"/>
          <w:szCs w:val="24"/>
        </w:rPr>
        <w:t>3、分析异常情况的原因</w:t>
      </w:r>
    </w:p>
    <w:p w:rsidR="006F4D12" w:rsidRDefault="00874C7E">
      <w:pPr>
        <w:rPr>
          <w:rFonts w:ascii="微软雅黑" w:eastAsia="微软雅黑" w:hAnsi="微软雅黑"/>
          <w:b w:val="0"/>
          <w:bCs/>
          <w:sz w:val="24"/>
          <w:szCs w:val="24"/>
        </w:rPr>
      </w:pPr>
      <w:r>
        <w:rPr>
          <w:rFonts w:ascii="微软雅黑" w:eastAsia="微软雅黑" w:hAnsi="微软雅黑" w:hint="eastAsia"/>
          <w:b w:val="0"/>
          <w:bCs/>
          <w:sz w:val="24"/>
          <w:szCs w:val="24"/>
        </w:rPr>
        <w:t>双汇</w:t>
      </w:r>
      <w:r w:rsidR="008F5092">
        <w:rPr>
          <w:rFonts w:ascii="微软雅黑" w:eastAsia="微软雅黑" w:hAnsi="微软雅黑" w:hint="eastAsia"/>
          <w:b w:val="0"/>
          <w:bCs/>
          <w:sz w:val="24"/>
          <w:szCs w:val="24"/>
        </w:rPr>
        <w:t>发展</w:t>
      </w:r>
      <w:r>
        <w:rPr>
          <w:rFonts w:ascii="微软雅黑" w:eastAsia="微软雅黑" w:hAnsi="微软雅黑" w:hint="eastAsia"/>
          <w:b w:val="0"/>
          <w:bCs/>
          <w:sz w:val="24"/>
          <w:szCs w:val="24"/>
        </w:rPr>
        <w:t>2014-2018年</w:t>
      </w:r>
      <w:r w:rsidR="008F5092">
        <w:rPr>
          <w:rFonts w:ascii="微软雅黑" w:eastAsia="微软雅黑" w:hAnsi="微软雅黑" w:hint="eastAsia"/>
          <w:b w:val="0"/>
          <w:bCs/>
          <w:sz w:val="24"/>
          <w:szCs w:val="24"/>
        </w:rPr>
        <w:t>的应收应付，预收预付</w:t>
      </w:r>
      <w:r>
        <w:rPr>
          <w:rFonts w:ascii="微软雅黑" w:eastAsia="微软雅黑" w:hAnsi="微软雅黑" w:hint="eastAsia"/>
          <w:b w:val="0"/>
          <w:bCs/>
          <w:sz w:val="24"/>
          <w:szCs w:val="24"/>
        </w:rPr>
        <w:t>没有异常。</w:t>
      </w:r>
    </w:p>
    <w:p w:rsidR="006F4D12" w:rsidRDefault="006F4D12">
      <w:pPr>
        <w:rPr>
          <w:rFonts w:ascii="微软雅黑" w:eastAsia="微软雅黑" w:hAnsi="微软雅黑"/>
          <w:b w:val="0"/>
          <w:sz w:val="21"/>
          <w:szCs w:val="21"/>
        </w:rPr>
      </w:pPr>
    </w:p>
    <w:p w:rsidR="006F4D12" w:rsidRDefault="00874C7E">
      <w:pPr>
        <w:rPr>
          <w:rFonts w:ascii="微软雅黑" w:eastAsia="微软雅黑" w:hAnsi="微软雅黑"/>
          <w:bCs/>
        </w:rPr>
      </w:pPr>
      <w:r>
        <w:rPr>
          <w:rFonts w:ascii="微软雅黑" w:eastAsia="微软雅黑" w:hAnsi="微软雅黑" w:hint="eastAsia"/>
          <w:bCs/>
          <w:sz w:val="24"/>
          <w:szCs w:val="24"/>
        </w:rPr>
        <w:t>4、根据分析结果，得出结论</w:t>
      </w:r>
    </w:p>
    <w:p w:rsidR="006F4D12" w:rsidRDefault="00874C7E">
      <w:pPr>
        <w:rPr>
          <w:rFonts w:ascii="微软雅黑" w:eastAsia="微软雅黑" w:hAnsi="微软雅黑"/>
          <w:b w:val="0"/>
          <w:bCs/>
          <w:sz w:val="24"/>
          <w:szCs w:val="24"/>
        </w:rPr>
      </w:pPr>
      <w:r>
        <w:rPr>
          <w:rFonts w:ascii="微软雅黑" w:eastAsia="微软雅黑" w:hAnsi="微软雅黑" w:hint="eastAsia"/>
          <w:b w:val="0"/>
          <w:bCs/>
          <w:sz w:val="24"/>
          <w:szCs w:val="24"/>
        </w:rPr>
        <w:t>根据分析结果，得出</w:t>
      </w:r>
      <w:r w:rsidR="008F5092">
        <w:rPr>
          <w:rFonts w:ascii="微软雅黑" w:eastAsia="微软雅黑" w:hAnsi="微软雅黑" w:hint="eastAsia"/>
          <w:b w:val="0"/>
          <w:bCs/>
          <w:sz w:val="24"/>
          <w:szCs w:val="24"/>
        </w:rPr>
        <w:t>应收应付，预收预付</w:t>
      </w:r>
      <w:r>
        <w:rPr>
          <w:rFonts w:ascii="微软雅黑" w:eastAsia="微软雅黑" w:hAnsi="微软雅黑" w:hint="eastAsia"/>
          <w:b w:val="0"/>
          <w:bCs/>
          <w:sz w:val="24"/>
          <w:szCs w:val="24"/>
        </w:rPr>
        <w:t>这个</w:t>
      </w:r>
      <w:r w:rsidR="008F5092">
        <w:rPr>
          <w:rFonts w:ascii="微软雅黑" w:eastAsia="微软雅黑" w:hAnsi="微软雅黑" w:hint="eastAsia"/>
          <w:b w:val="0"/>
          <w:bCs/>
          <w:sz w:val="24"/>
          <w:szCs w:val="24"/>
        </w:rPr>
        <w:t>指标</w:t>
      </w:r>
      <w:r>
        <w:rPr>
          <w:rFonts w:ascii="微软雅黑" w:eastAsia="微软雅黑" w:hAnsi="微软雅黑" w:hint="eastAsia"/>
          <w:b w:val="0"/>
          <w:bCs/>
          <w:sz w:val="24"/>
          <w:szCs w:val="24"/>
        </w:rPr>
        <w:t>是否有风险，如果有，具体有什么风险？</w:t>
      </w:r>
    </w:p>
    <w:p w:rsidR="006F4D12" w:rsidRDefault="006F4D12">
      <w:pPr>
        <w:rPr>
          <w:rFonts w:ascii="微软雅黑" w:eastAsia="微软雅黑" w:hAnsi="微软雅黑"/>
          <w:sz w:val="21"/>
          <w:szCs w:val="21"/>
        </w:rPr>
      </w:pPr>
    </w:p>
    <w:p w:rsidR="006F4D12" w:rsidRDefault="006F4D12">
      <w:pPr>
        <w:rPr>
          <w:rFonts w:ascii="微软雅黑" w:eastAsia="微软雅黑" w:hAnsi="微软雅黑"/>
          <w:b w:val="0"/>
          <w:bCs/>
          <w:sz w:val="24"/>
          <w:szCs w:val="24"/>
        </w:rPr>
      </w:pPr>
    </w:p>
    <w:p w:rsidR="006F4D12" w:rsidRDefault="00874C7E">
      <w:pPr>
        <w:rPr>
          <w:rFonts w:ascii="微软雅黑" w:eastAsia="微软雅黑" w:hAnsi="微软雅黑" w:cs="宋体"/>
          <w:kern w:val="0"/>
        </w:rPr>
      </w:pPr>
      <w:r>
        <w:rPr>
          <w:rFonts w:ascii="微软雅黑" w:eastAsia="微软雅黑" w:hAnsi="微软雅黑" w:hint="eastAsia"/>
        </w:rPr>
        <w:t>三、</w:t>
      </w:r>
      <w:r>
        <w:rPr>
          <w:rFonts w:ascii="微软雅黑" w:eastAsia="微软雅黑" w:hAnsi="微软雅黑" w:cs="宋体" w:hint="eastAsia"/>
          <w:kern w:val="0"/>
        </w:rPr>
        <w:t>应付职工薪酬</w:t>
      </w:r>
    </w:p>
    <w:p w:rsidR="006F4D12" w:rsidRDefault="00874C7E">
      <w:pPr>
        <w:rPr>
          <w:rFonts w:ascii="微软雅黑" w:eastAsia="微软雅黑" w:hAnsi="微软雅黑"/>
          <w:bCs/>
          <w:sz w:val="24"/>
          <w:szCs w:val="24"/>
        </w:rPr>
      </w:pPr>
      <w:r>
        <w:rPr>
          <w:rFonts w:ascii="微软雅黑" w:eastAsia="微软雅黑" w:hAnsi="微软雅黑" w:hint="eastAsia"/>
          <w:bCs/>
          <w:sz w:val="24"/>
          <w:szCs w:val="24"/>
        </w:rPr>
        <w:t>1、分析思路</w:t>
      </w:r>
    </w:p>
    <w:p w:rsidR="006F4D12" w:rsidRDefault="001E3946">
      <w:pPr>
        <w:rPr>
          <w:rFonts w:ascii="微软雅黑" w:eastAsia="微软雅黑" w:hAnsi="微软雅黑"/>
          <w:b w:val="0"/>
          <w:bCs/>
          <w:sz w:val="24"/>
          <w:szCs w:val="24"/>
        </w:rPr>
      </w:pPr>
      <w:r>
        <w:rPr>
          <w:noProof/>
        </w:rPr>
        <w:drawing>
          <wp:inline distT="0" distB="0" distL="0" distR="0" wp14:anchorId="3346B1F4" wp14:editId="2FD673A5">
            <wp:extent cx="5271893" cy="214312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144107"/>
                    </a:xfrm>
                    <a:prstGeom prst="rect">
                      <a:avLst/>
                    </a:prstGeom>
                  </pic:spPr>
                </pic:pic>
              </a:graphicData>
            </a:graphic>
          </wp:inline>
        </w:drawing>
      </w:r>
    </w:p>
    <w:p w:rsidR="006F4D12" w:rsidRDefault="006F4D12">
      <w:pPr>
        <w:rPr>
          <w:rFonts w:ascii="微软雅黑" w:eastAsia="微软雅黑" w:hAnsi="微软雅黑"/>
          <w:b w:val="0"/>
          <w:bCs/>
          <w:sz w:val="24"/>
          <w:szCs w:val="24"/>
        </w:rPr>
      </w:pPr>
    </w:p>
    <w:p w:rsidR="006F4D12" w:rsidRDefault="00874C7E">
      <w:pPr>
        <w:jc w:val="left"/>
        <w:rPr>
          <w:rFonts w:ascii="微软雅黑" w:eastAsia="微软雅黑" w:hAnsi="微软雅黑"/>
          <w:bCs/>
          <w:sz w:val="24"/>
          <w:szCs w:val="24"/>
        </w:rPr>
      </w:pPr>
      <w:r>
        <w:rPr>
          <w:rFonts w:ascii="微软雅黑" w:eastAsia="微软雅黑" w:hAnsi="微软雅黑" w:hint="eastAsia"/>
          <w:bCs/>
          <w:sz w:val="24"/>
          <w:szCs w:val="24"/>
        </w:rPr>
        <w:t>2、数据收集：应付职工薪酬、</w:t>
      </w:r>
      <w:r w:rsidR="00D32D8F" w:rsidRPr="00D32D8F">
        <w:rPr>
          <w:rFonts w:ascii="微软雅黑" w:eastAsia="微软雅黑" w:hAnsi="微软雅黑" w:hint="eastAsia"/>
          <w:bCs/>
          <w:sz w:val="24"/>
          <w:szCs w:val="24"/>
        </w:rPr>
        <w:t>支付给职工以及为职工支付的现金</w:t>
      </w:r>
      <w:r w:rsidR="00D32D8F">
        <w:rPr>
          <w:rFonts w:ascii="微软雅黑" w:eastAsia="微软雅黑" w:hAnsi="微软雅黑" w:hint="eastAsia"/>
          <w:bCs/>
          <w:sz w:val="24"/>
          <w:szCs w:val="24"/>
        </w:rPr>
        <w:t>、</w:t>
      </w:r>
      <w:r>
        <w:rPr>
          <w:rFonts w:ascii="微软雅黑" w:eastAsia="微软雅黑" w:hAnsi="微软雅黑" w:hint="eastAsia"/>
          <w:bCs/>
          <w:sz w:val="24"/>
          <w:szCs w:val="24"/>
        </w:rPr>
        <w:t>总人数、</w:t>
      </w:r>
      <w:r w:rsidR="00D32D8F">
        <w:rPr>
          <w:noProof/>
        </w:rPr>
        <w:drawing>
          <wp:inline distT="0" distB="0" distL="0" distR="0" wp14:anchorId="365B16F1" wp14:editId="147A8FB9">
            <wp:extent cx="5276431" cy="13049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04400"/>
                    </a:xfrm>
                    <a:prstGeom prst="rect">
                      <a:avLst/>
                    </a:prstGeom>
                  </pic:spPr>
                </pic:pic>
              </a:graphicData>
            </a:graphic>
          </wp:inline>
        </w:drawing>
      </w:r>
    </w:p>
    <w:p w:rsidR="00BB4B4B" w:rsidRPr="00BB4B4B" w:rsidRDefault="00D32D8F" w:rsidP="00BB4B4B">
      <w:pPr>
        <w:rPr>
          <w:rFonts w:ascii="微软雅黑" w:eastAsia="微软雅黑" w:hAnsi="微软雅黑"/>
          <w:b w:val="0"/>
          <w:bCs/>
          <w:sz w:val="24"/>
          <w:szCs w:val="24"/>
        </w:rPr>
      </w:pPr>
      <w:r>
        <w:rPr>
          <w:rFonts w:ascii="微软雅黑" w:eastAsia="微软雅黑" w:hAnsi="微软雅黑" w:hint="eastAsia"/>
          <w:b w:val="0"/>
          <w:bCs/>
          <w:sz w:val="24"/>
          <w:szCs w:val="24"/>
        </w:rPr>
        <w:lastRenderedPageBreak/>
        <w:t>根据</w:t>
      </w:r>
      <w:r w:rsidR="00646545" w:rsidRPr="00BB4B4B">
        <w:rPr>
          <w:rFonts w:ascii="微软雅黑" w:eastAsia="微软雅黑" w:hAnsi="微软雅黑" w:hint="eastAsia"/>
          <w:b w:val="0"/>
          <w:bCs/>
          <w:sz w:val="24"/>
          <w:szCs w:val="24"/>
        </w:rPr>
        <w:t>双汇2013-2018年的应付职工薪酬</w:t>
      </w:r>
      <w:r w:rsidR="00646545">
        <w:rPr>
          <w:rFonts w:ascii="微软雅黑" w:eastAsia="微软雅黑" w:hAnsi="微软雅黑" w:hint="eastAsia"/>
          <w:b w:val="0"/>
          <w:bCs/>
          <w:sz w:val="24"/>
          <w:szCs w:val="24"/>
        </w:rPr>
        <w:t>和</w:t>
      </w:r>
      <w:r w:rsidR="00646545">
        <w:rPr>
          <w:rFonts w:ascii="微软雅黑" w:eastAsia="微软雅黑" w:hAnsi="微软雅黑" w:hint="eastAsia"/>
          <w:b w:val="0"/>
          <w:bCs/>
          <w:sz w:val="24"/>
          <w:szCs w:val="24"/>
        </w:rPr>
        <w:t>支付给职工以及为职工支付的现金</w:t>
      </w:r>
      <w:r w:rsidR="00646545">
        <w:rPr>
          <w:rFonts w:ascii="微软雅黑" w:eastAsia="微软雅黑" w:hAnsi="微软雅黑" w:hint="eastAsia"/>
          <w:b w:val="0"/>
          <w:bCs/>
          <w:sz w:val="24"/>
          <w:szCs w:val="24"/>
        </w:rPr>
        <w:t>，</w:t>
      </w:r>
      <w:r>
        <w:rPr>
          <w:rFonts w:ascii="微软雅黑" w:eastAsia="微软雅黑" w:hAnsi="微软雅黑" w:hint="eastAsia"/>
          <w:b w:val="0"/>
          <w:bCs/>
          <w:sz w:val="24"/>
          <w:szCs w:val="24"/>
        </w:rPr>
        <w:t>这2个数据可以算出</w:t>
      </w:r>
      <w:r w:rsidR="00BB4B4B">
        <w:rPr>
          <w:rFonts w:ascii="微软雅黑" w:eastAsia="微软雅黑" w:hAnsi="微软雅黑" w:hint="eastAsia"/>
          <w:b w:val="0"/>
          <w:bCs/>
          <w:sz w:val="24"/>
          <w:szCs w:val="24"/>
        </w:rPr>
        <w:t>双汇2014-2018年的职工总薪酬分别为：35.4亿、34.1亿、31.5亿、32.9亿、37.2亿。</w:t>
      </w:r>
    </w:p>
    <w:p w:rsidR="006F4D12" w:rsidRPr="00BB4B4B" w:rsidRDefault="00874C7E">
      <w:pPr>
        <w:rPr>
          <w:rFonts w:ascii="微软雅黑" w:eastAsia="微软雅黑" w:hAnsi="微软雅黑"/>
          <w:b w:val="0"/>
          <w:bCs/>
          <w:sz w:val="24"/>
          <w:szCs w:val="24"/>
        </w:rPr>
      </w:pPr>
      <w:bookmarkStart w:id="0" w:name="_GoBack"/>
      <w:bookmarkEnd w:id="0"/>
      <w:r w:rsidRPr="00BB4B4B">
        <w:rPr>
          <w:rFonts w:ascii="微软雅黑" w:eastAsia="微软雅黑" w:hAnsi="微软雅黑" w:hint="eastAsia"/>
          <w:b w:val="0"/>
          <w:bCs/>
          <w:sz w:val="24"/>
          <w:szCs w:val="24"/>
        </w:rPr>
        <w:t>双汇2014-2018年的员工人数分别为：68159人、51227人、50431人、53548人、54046人。双汇自201</w:t>
      </w:r>
      <w:r w:rsidR="00BB4B4B" w:rsidRPr="00BB4B4B">
        <w:rPr>
          <w:rFonts w:ascii="微软雅黑" w:eastAsia="微软雅黑" w:hAnsi="微软雅黑" w:hint="eastAsia"/>
          <w:b w:val="0"/>
          <w:bCs/>
          <w:sz w:val="24"/>
          <w:szCs w:val="24"/>
        </w:rPr>
        <w:t>5</w:t>
      </w:r>
      <w:r w:rsidRPr="00BB4B4B">
        <w:rPr>
          <w:rFonts w:ascii="微软雅黑" w:eastAsia="微软雅黑" w:hAnsi="微软雅黑" w:hint="eastAsia"/>
          <w:b w:val="0"/>
          <w:bCs/>
          <w:sz w:val="24"/>
          <w:szCs w:val="24"/>
        </w:rPr>
        <w:t>-2016年员工人数大幅下降。2017年、2018年人数小幅增加。这说明从2015年</w:t>
      </w:r>
      <w:r w:rsidR="00BB4B4B" w:rsidRPr="00BB4B4B">
        <w:rPr>
          <w:rFonts w:ascii="微软雅黑" w:eastAsia="微软雅黑" w:hAnsi="微软雅黑" w:hint="eastAsia"/>
          <w:b w:val="0"/>
          <w:bCs/>
          <w:sz w:val="24"/>
          <w:szCs w:val="24"/>
        </w:rPr>
        <w:t>开始</w:t>
      </w:r>
      <w:r w:rsidRPr="00BB4B4B">
        <w:rPr>
          <w:rFonts w:ascii="微软雅黑" w:eastAsia="微软雅黑" w:hAnsi="微软雅黑" w:hint="eastAsia"/>
          <w:b w:val="0"/>
          <w:bCs/>
          <w:sz w:val="24"/>
          <w:szCs w:val="24"/>
        </w:rPr>
        <w:t>双汇可能进入了收缩期</w:t>
      </w:r>
      <w:r w:rsidR="00BB4B4B" w:rsidRPr="00BB4B4B">
        <w:rPr>
          <w:rFonts w:ascii="微软雅黑" w:eastAsia="微软雅黑" w:hAnsi="微软雅黑" w:hint="eastAsia"/>
          <w:b w:val="0"/>
          <w:bCs/>
          <w:sz w:val="24"/>
          <w:szCs w:val="24"/>
        </w:rPr>
        <w:t>，2017、</w:t>
      </w:r>
      <w:r w:rsidRPr="00BB4B4B">
        <w:rPr>
          <w:rFonts w:ascii="微软雅黑" w:eastAsia="微软雅黑" w:hAnsi="微软雅黑" w:hint="eastAsia"/>
          <w:b w:val="0"/>
          <w:bCs/>
          <w:sz w:val="24"/>
          <w:szCs w:val="24"/>
        </w:rPr>
        <w:t>2018</w:t>
      </w:r>
      <w:r w:rsidR="00BB4B4B" w:rsidRPr="00BB4B4B">
        <w:rPr>
          <w:rFonts w:ascii="微软雅黑" w:eastAsia="微软雅黑" w:hAnsi="微软雅黑" w:hint="eastAsia"/>
          <w:b w:val="0"/>
          <w:bCs/>
          <w:sz w:val="24"/>
          <w:szCs w:val="24"/>
        </w:rPr>
        <w:t>这</w:t>
      </w:r>
      <w:r w:rsidRPr="00BB4B4B">
        <w:rPr>
          <w:rFonts w:ascii="微软雅黑" w:eastAsia="微软雅黑" w:hAnsi="微软雅黑" w:hint="eastAsia"/>
          <w:b w:val="0"/>
          <w:bCs/>
          <w:sz w:val="24"/>
          <w:szCs w:val="24"/>
        </w:rPr>
        <w:t>两年又有小幅扩张。</w:t>
      </w:r>
    </w:p>
    <w:p w:rsidR="006F4D12" w:rsidRPr="00BB4B4B" w:rsidRDefault="00BB4B4B">
      <w:pPr>
        <w:rPr>
          <w:rFonts w:ascii="微软雅黑" w:eastAsia="微软雅黑" w:hAnsi="微软雅黑"/>
          <w:b w:val="0"/>
          <w:bCs/>
          <w:sz w:val="24"/>
          <w:szCs w:val="24"/>
        </w:rPr>
      </w:pPr>
      <w:r>
        <w:rPr>
          <w:rFonts w:ascii="微软雅黑" w:eastAsia="微软雅黑" w:hAnsi="微软雅黑" w:hint="eastAsia"/>
          <w:b w:val="0"/>
          <w:bCs/>
          <w:sz w:val="24"/>
          <w:szCs w:val="24"/>
        </w:rPr>
        <w:t>根据职工总薪酬和总人数，</w:t>
      </w:r>
      <w:r w:rsidR="00874C7E">
        <w:rPr>
          <w:rFonts w:ascii="微软雅黑" w:eastAsia="微软雅黑" w:hAnsi="微软雅黑" w:hint="eastAsia"/>
          <w:b w:val="0"/>
          <w:bCs/>
          <w:sz w:val="24"/>
          <w:szCs w:val="24"/>
        </w:rPr>
        <w:t>我们可以</w:t>
      </w:r>
      <w:r>
        <w:rPr>
          <w:rFonts w:ascii="微软雅黑" w:eastAsia="微软雅黑" w:hAnsi="微软雅黑" w:hint="eastAsia"/>
          <w:b w:val="0"/>
          <w:bCs/>
          <w:sz w:val="24"/>
          <w:szCs w:val="24"/>
        </w:rPr>
        <w:t>算出</w:t>
      </w:r>
      <w:r w:rsidRPr="00BB4B4B">
        <w:rPr>
          <w:rFonts w:ascii="微软雅黑" w:eastAsia="微软雅黑" w:hAnsi="微软雅黑" w:hint="eastAsia"/>
          <w:b w:val="0"/>
          <w:bCs/>
          <w:sz w:val="24"/>
          <w:szCs w:val="24"/>
        </w:rPr>
        <w:t>双汇2014-2018年的人均年薪分别为：5.2万、6.7万、6.2万、6.2万、6.9万。</w:t>
      </w:r>
      <w:r w:rsidR="00874C7E">
        <w:rPr>
          <w:rFonts w:ascii="微软雅黑" w:eastAsia="微软雅黑" w:hAnsi="微软雅黑" w:hint="eastAsia"/>
          <w:b w:val="0"/>
          <w:bCs/>
          <w:sz w:val="24"/>
          <w:szCs w:val="24"/>
        </w:rPr>
        <w:t>双汇的人均年薪在2015年之前稳步增加，在2016年开始下降。这是符合双汇目前收缩阶段的特点的。</w:t>
      </w:r>
      <w:r w:rsidR="00874C7E" w:rsidRPr="00BB4B4B">
        <w:rPr>
          <w:rFonts w:ascii="微软雅黑" w:eastAsia="微软雅黑" w:hAnsi="微软雅黑" w:hint="eastAsia"/>
          <w:b w:val="0"/>
          <w:bCs/>
          <w:sz w:val="24"/>
          <w:szCs w:val="24"/>
        </w:rPr>
        <w:t>这个薪资水平在河南也是合理的。</w:t>
      </w:r>
    </w:p>
    <w:p w:rsidR="006F4D12" w:rsidRDefault="00874C7E">
      <w:pPr>
        <w:rPr>
          <w:rFonts w:ascii="微软雅黑" w:eastAsia="微软雅黑" w:hAnsi="微软雅黑"/>
          <w:b w:val="0"/>
          <w:bCs/>
          <w:sz w:val="24"/>
          <w:szCs w:val="24"/>
        </w:rPr>
      </w:pPr>
      <w:r>
        <w:rPr>
          <w:rFonts w:ascii="微软雅黑" w:eastAsia="微软雅黑" w:hAnsi="微软雅黑" w:hint="eastAsia"/>
          <w:b w:val="0"/>
          <w:bCs/>
          <w:sz w:val="24"/>
          <w:szCs w:val="24"/>
        </w:rPr>
        <w:t>另外我们可以看到在双汇连续4年员工人数大幅下降的同时营业收入也开始有所对应的波动。</w:t>
      </w:r>
    </w:p>
    <w:p w:rsidR="006F4D12" w:rsidRDefault="00874C7E">
      <w:pPr>
        <w:rPr>
          <w:rFonts w:ascii="微软雅黑" w:eastAsia="微软雅黑" w:hAnsi="微软雅黑"/>
          <w:b w:val="0"/>
          <w:bCs/>
          <w:sz w:val="24"/>
          <w:szCs w:val="24"/>
        </w:rPr>
      </w:pPr>
      <w:r>
        <w:rPr>
          <w:noProof/>
        </w:rPr>
        <w:drawing>
          <wp:inline distT="0" distB="0" distL="0" distR="0">
            <wp:extent cx="5267325" cy="7334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7325" cy="733425"/>
                    </a:xfrm>
                    <a:prstGeom prst="rect">
                      <a:avLst/>
                    </a:prstGeom>
                    <a:noFill/>
                    <a:ln>
                      <a:noFill/>
                    </a:ln>
                  </pic:spPr>
                </pic:pic>
              </a:graphicData>
            </a:graphic>
          </wp:inline>
        </w:drawing>
      </w:r>
    </w:p>
    <w:p w:rsidR="006F4D12" w:rsidRDefault="00874C7E">
      <w:pPr>
        <w:rPr>
          <w:rFonts w:ascii="微软雅黑" w:eastAsia="微软雅黑" w:hAnsi="微软雅黑"/>
          <w:b w:val="0"/>
          <w:bCs/>
          <w:sz w:val="24"/>
          <w:szCs w:val="24"/>
        </w:rPr>
      </w:pPr>
      <w:r>
        <w:rPr>
          <w:rFonts w:ascii="微软雅黑" w:eastAsia="微软雅黑" w:hAnsi="微软雅黑" w:hint="eastAsia"/>
          <w:b w:val="0"/>
          <w:bCs/>
          <w:sz w:val="24"/>
          <w:szCs w:val="24"/>
        </w:rPr>
        <w:t>我们可以看到双汇2015年的营业收入小于2014年，2016年创出了新高，2017年、2018年逐年降低。在双汇的商业模式没有创新的前提下，人员的大幅减少特别是销售人员的减少必定会导致未来营业收入的减少。2018年销售人员有所增加，也许会影响2019年的收入。</w:t>
      </w:r>
    </w:p>
    <w:p w:rsidR="006F4D12" w:rsidRDefault="006F4D12">
      <w:pPr>
        <w:rPr>
          <w:rFonts w:ascii="微软雅黑" w:eastAsia="微软雅黑" w:hAnsi="微软雅黑"/>
          <w:sz w:val="21"/>
          <w:szCs w:val="21"/>
        </w:rPr>
      </w:pPr>
    </w:p>
    <w:p w:rsidR="006F4D12" w:rsidRDefault="00874C7E">
      <w:pPr>
        <w:rPr>
          <w:rFonts w:ascii="微软雅黑" w:eastAsia="微软雅黑" w:hAnsi="微软雅黑"/>
          <w:bCs/>
          <w:sz w:val="24"/>
          <w:szCs w:val="24"/>
        </w:rPr>
      </w:pPr>
      <w:r>
        <w:rPr>
          <w:rFonts w:ascii="微软雅黑" w:eastAsia="微软雅黑" w:hAnsi="微软雅黑" w:hint="eastAsia"/>
          <w:bCs/>
          <w:sz w:val="24"/>
          <w:szCs w:val="24"/>
        </w:rPr>
        <w:t>3、分析异常情况的原因</w:t>
      </w:r>
    </w:p>
    <w:p w:rsidR="006F4D12" w:rsidRDefault="00874C7E">
      <w:pPr>
        <w:rPr>
          <w:rFonts w:ascii="微软雅黑" w:eastAsia="微软雅黑" w:hAnsi="微软雅黑"/>
          <w:b w:val="0"/>
          <w:sz w:val="24"/>
          <w:szCs w:val="24"/>
        </w:rPr>
      </w:pPr>
      <w:r>
        <w:rPr>
          <w:rFonts w:ascii="微软雅黑" w:eastAsia="微软雅黑" w:hAnsi="微软雅黑" w:hint="eastAsia"/>
          <w:b w:val="0"/>
          <w:sz w:val="24"/>
          <w:szCs w:val="24"/>
        </w:rPr>
        <w:t>应付职工薪酬没有异常。</w:t>
      </w:r>
    </w:p>
    <w:p w:rsidR="006F4D12" w:rsidRDefault="006F4D12">
      <w:pPr>
        <w:rPr>
          <w:rFonts w:ascii="微软雅黑" w:eastAsia="微软雅黑" w:hAnsi="微软雅黑"/>
          <w:b w:val="0"/>
          <w:bCs/>
          <w:sz w:val="24"/>
          <w:szCs w:val="24"/>
        </w:rPr>
      </w:pPr>
    </w:p>
    <w:p w:rsidR="006F4D12" w:rsidRDefault="00874C7E">
      <w:pPr>
        <w:rPr>
          <w:rFonts w:ascii="微软雅黑" w:eastAsia="微软雅黑" w:hAnsi="微软雅黑"/>
          <w:bCs/>
          <w:sz w:val="24"/>
          <w:szCs w:val="24"/>
        </w:rPr>
      </w:pPr>
      <w:r>
        <w:rPr>
          <w:rFonts w:ascii="微软雅黑" w:eastAsia="微软雅黑" w:hAnsi="微软雅黑" w:hint="eastAsia"/>
          <w:bCs/>
          <w:sz w:val="24"/>
          <w:szCs w:val="24"/>
        </w:rPr>
        <w:lastRenderedPageBreak/>
        <w:t>4、根据分析结果，得出结论</w:t>
      </w:r>
    </w:p>
    <w:p w:rsidR="006F4D12" w:rsidRDefault="00874C7E">
      <w:pPr>
        <w:rPr>
          <w:rFonts w:ascii="微软雅黑" w:eastAsia="微软雅黑" w:hAnsi="微软雅黑"/>
          <w:b w:val="0"/>
          <w:bCs/>
          <w:sz w:val="24"/>
          <w:szCs w:val="24"/>
        </w:rPr>
      </w:pPr>
      <w:r>
        <w:rPr>
          <w:rFonts w:ascii="微软雅黑" w:eastAsia="微软雅黑" w:hAnsi="微软雅黑" w:hint="eastAsia"/>
          <w:b w:val="0"/>
          <w:bCs/>
          <w:sz w:val="24"/>
          <w:szCs w:val="24"/>
        </w:rPr>
        <w:t>根据分析结果，得出应付职工薪酬科目是否有风险？如果有，有什么风险？</w:t>
      </w:r>
    </w:p>
    <w:p w:rsidR="006F4D12" w:rsidRDefault="006F4D12">
      <w:pPr>
        <w:rPr>
          <w:rFonts w:ascii="微软雅黑" w:eastAsia="微软雅黑" w:hAnsi="微软雅黑"/>
          <w:sz w:val="21"/>
          <w:szCs w:val="21"/>
        </w:rPr>
      </w:pPr>
    </w:p>
    <w:p w:rsidR="006F4D12" w:rsidRDefault="006F4D12"/>
    <w:sectPr w:rsidR="006F4D12">
      <w:pgSz w:w="11906" w:h="16838"/>
      <w:pgMar w:top="1134" w:right="1800" w:bottom="1134" w:left="180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720" w:rsidRDefault="00B41720" w:rsidP="007D746A">
      <w:r>
        <w:separator/>
      </w:r>
    </w:p>
  </w:endnote>
  <w:endnote w:type="continuationSeparator" w:id="0">
    <w:p w:rsidR="00B41720" w:rsidRDefault="00B41720" w:rsidP="007D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720" w:rsidRDefault="00B41720" w:rsidP="007D746A">
      <w:r>
        <w:separator/>
      </w:r>
    </w:p>
  </w:footnote>
  <w:footnote w:type="continuationSeparator" w:id="0">
    <w:p w:rsidR="00B41720" w:rsidRDefault="00B41720" w:rsidP="007D74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1CABAF"/>
    <w:multiLevelType w:val="singleLevel"/>
    <w:tmpl w:val="D91CABAF"/>
    <w:lvl w:ilvl="0">
      <w:start w:val="2"/>
      <w:numFmt w:val="decimal"/>
      <w:suff w:val="nothing"/>
      <w:lvlText w:val="%1、"/>
      <w:lvlJc w:val="left"/>
    </w:lvl>
  </w:abstractNum>
  <w:abstractNum w:abstractNumId="1">
    <w:nsid w:val="2F7961C4"/>
    <w:multiLevelType w:val="multilevel"/>
    <w:tmpl w:val="2F7961C4"/>
    <w:lvl w:ilvl="0">
      <w:start w:val="1"/>
      <w:numFmt w:val="japaneseCounting"/>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86"/>
    <w:rsid w:val="00042349"/>
    <w:rsid w:val="00084040"/>
    <w:rsid w:val="000C3A5A"/>
    <w:rsid w:val="000E6063"/>
    <w:rsid w:val="000F2120"/>
    <w:rsid w:val="000F506D"/>
    <w:rsid w:val="0013756C"/>
    <w:rsid w:val="00142E0E"/>
    <w:rsid w:val="00172FFF"/>
    <w:rsid w:val="00192AA0"/>
    <w:rsid w:val="001A61C2"/>
    <w:rsid w:val="001D1F8D"/>
    <w:rsid w:val="001E3946"/>
    <w:rsid w:val="00227CB0"/>
    <w:rsid w:val="00245755"/>
    <w:rsid w:val="00296104"/>
    <w:rsid w:val="002C187A"/>
    <w:rsid w:val="002D28FC"/>
    <w:rsid w:val="00381D10"/>
    <w:rsid w:val="003F24D2"/>
    <w:rsid w:val="00416170"/>
    <w:rsid w:val="00531803"/>
    <w:rsid w:val="005522A9"/>
    <w:rsid w:val="005974F5"/>
    <w:rsid w:val="005C2BC5"/>
    <w:rsid w:val="00646545"/>
    <w:rsid w:val="0066030A"/>
    <w:rsid w:val="006F4D12"/>
    <w:rsid w:val="007347ED"/>
    <w:rsid w:val="007818A1"/>
    <w:rsid w:val="007D326A"/>
    <w:rsid w:val="007D746A"/>
    <w:rsid w:val="007F2F68"/>
    <w:rsid w:val="0085328A"/>
    <w:rsid w:val="00864494"/>
    <w:rsid w:val="00874C7E"/>
    <w:rsid w:val="008B07F1"/>
    <w:rsid w:val="008F5092"/>
    <w:rsid w:val="00911DA7"/>
    <w:rsid w:val="0093153F"/>
    <w:rsid w:val="009349F7"/>
    <w:rsid w:val="00937AC3"/>
    <w:rsid w:val="00994538"/>
    <w:rsid w:val="00A62CEB"/>
    <w:rsid w:val="00A65186"/>
    <w:rsid w:val="00B073A2"/>
    <w:rsid w:val="00B12B14"/>
    <w:rsid w:val="00B41720"/>
    <w:rsid w:val="00BB4B4B"/>
    <w:rsid w:val="00BE1699"/>
    <w:rsid w:val="00D32D8F"/>
    <w:rsid w:val="00D5576E"/>
    <w:rsid w:val="00DF0993"/>
    <w:rsid w:val="00E25319"/>
    <w:rsid w:val="00E63102"/>
    <w:rsid w:val="00E8289B"/>
    <w:rsid w:val="00FA670F"/>
    <w:rsid w:val="00FB2E12"/>
    <w:rsid w:val="00FB76FB"/>
    <w:rsid w:val="00FD79E7"/>
    <w:rsid w:val="0E4655F2"/>
    <w:rsid w:val="12165439"/>
    <w:rsid w:val="20CD5A9A"/>
    <w:rsid w:val="2B1E7281"/>
    <w:rsid w:val="2DA96514"/>
    <w:rsid w:val="49CE4977"/>
    <w:rsid w:val="4D08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微软雅黑"/>
      <w:b/>
      <w:color w:val="000000" w:themeColor="text1"/>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rFonts w:cs="微软雅黑"/>
      <w:b/>
      <w:color w:val="000000" w:themeColor="text1"/>
      <w:sz w:val="18"/>
      <w:szCs w:val="18"/>
    </w:rPr>
  </w:style>
  <w:style w:type="paragraph" w:styleId="a6">
    <w:name w:val="List Paragraph"/>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微软雅黑"/>
      <w:b/>
      <w:color w:val="000000" w:themeColor="text1"/>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rFonts w:cs="微软雅黑"/>
      <w:b/>
      <w:color w:val="000000" w:themeColor="text1"/>
      <w:sz w:val="18"/>
      <w:szCs w:val="18"/>
    </w:rPr>
  </w:style>
  <w:style w:type="paragraph" w:styleId="a6">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tian</dc:creator>
  <cp:lastModifiedBy>hb guo</cp:lastModifiedBy>
  <cp:revision>10</cp:revision>
  <dcterms:created xsi:type="dcterms:W3CDTF">2020-03-21T03:48:00Z</dcterms:created>
  <dcterms:modified xsi:type="dcterms:W3CDTF">2020-03-22T05:17:00Z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