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A1B97" w14:textId="77777777" w:rsidR="009E0FFA" w:rsidRDefault="009E0FFA" w:rsidP="004863F7">
      <w:pPr>
        <w:jc w:val="center"/>
        <w:rPr>
          <w:rFonts w:ascii="微软雅黑" w:eastAsia="微软雅黑" w:hAnsi="微软雅黑"/>
          <w:b/>
          <w:bCs/>
          <w:sz w:val="28"/>
          <w:szCs w:val="28"/>
        </w:rPr>
      </w:pPr>
    </w:p>
    <w:p w14:paraId="3FC1111A" w14:textId="01718C25" w:rsidR="00096FA2" w:rsidRPr="004863F7" w:rsidRDefault="004863F7" w:rsidP="004863F7">
      <w:pPr>
        <w:jc w:val="center"/>
        <w:rPr>
          <w:rFonts w:ascii="微软雅黑" w:eastAsia="微软雅黑" w:hAnsi="微软雅黑"/>
          <w:b/>
          <w:bCs/>
          <w:sz w:val="28"/>
          <w:szCs w:val="28"/>
        </w:rPr>
      </w:pPr>
      <w:r w:rsidRPr="004863F7">
        <w:rPr>
          <w:rFonts w:ascii="微软雅黑" w:eastAsia="微软雅黑" w:hAnsi="微软雅黑" w:hint="eastAsia"/>
          <w:b/>
          <w:bCs/>
          <w:sz w:val="28"/>
          <w:szCs w:val="28"/>
        </w:rPr>
        <w:t>十七周课程涉及的专业名词</w:t>
      </w:r>
    </w:p>
    <w:p w14:paraId="3BD1EC75" w14:textId="77777777" w:rsidR="004863F7" w:rsidRDefault="004863F7" w:rsidP="00AA2ABB">
      <w:pPr>
        <w:widowControl/>
        <w:shd w:val="clear" w:color="auto" w:fill="FFFFFF"/>
        <w:spacing w:line="360" w:lineRule="atLeast"/>
        <w:jc w:val="left"/>
        <w:rPr>
          <w:rFonts w:ascii="微软雅黑" w:eastAsia="微软雅黑" w:hAnsi="微软雅黑" w:cs="Arial"/>
          <w:b/>
          <w:bCs/>
          <w:color w:val="333333"/>
          <w:kern w:val="0"/>
          <w:sz w:val="24"/>
          <w:szCs w:val="24"/>
        </w:rPr>
      </w:pPr>
    </w:p>
    <w:p w14:paraId="6720DE2F" w14:textId="1E563615" w:rsidR="00C10061" w:rsidRDefault="00AA2ABB" w:rsidP="009E0FFA">
      <w:pPr>
        <w:widowControl/>
        <w:shd w:val="clear" w:color="auto" w:fill="FFFFFF"/>
        <w:tabs>
          <w:tab w:val="left" w:pos="6530"/>
        </w:tabs>
        <w:spacing w:line="360" w:lineRule="atLeast"/>
        <w:jc w:val="left"/>
        <w:rPr>
          <w:rFonts w:ascii="微软雅黑" w:eastAsia="微软雅黑" w:hAnsi="微软雅黑" w:cs="Arial"/>
          <w:color w:val="333333"/>
          <w:kern w:val="0"/>
          <w:szCs w:val="21"/>
        </w:rPr>
      </w:pPr>
      <w:r w:rsidRPr="00AA2ABB">
        <w:rPr>
          <w:rFonts w:ascii="微软雅黑" w:eastAsia="微软雅黑" w:hAnsi="微软雅黑" w:cs="Arial" w:hint="eastAsia"/>
          <w:b/>
          <w:bCs/>
          <w:color w:val="333333"/>
          <w:kern w:val="0"/>
          <w:sz w:val="24"/>
          <w:szCs w:val="24"/>
        </w:rPr>
        <w:t>利润表</w:t>
      </w:r>
      <w:r>
        <w:rPr>
          <w:rFonts w:ascii="微软雅黑" w:eastAsia="微软雅黑" w:hAnsi="微软雅黑" w:cs="Arial" w:hint="eastAsia"/>
          <w:color w:val="333333"/>
          <w:kern w:val="0"/>
          <w:szCs w:val="21"/>
        </w:rPr>
        <w:t>：</w:t>
      </w:r>
      <w:r w:rsidR="009E0FFA">
        <w:rPr>
          <w:rFonts w:ascii="微软雅黑" w:eastAsia="微软雅黑" w:hAnsi="微软雅黑" w:cs="Arial"/>
          <w:color w:val="333333"/>
          <w:kern w:val="0"/>
          <w:szCs w:val="21"/>
        </w:rPr>
        <w:tab/>
      </w:r>
      <w:bookmarkStart w:id="0" w:name="_GoBack"/>
      <w:bookmarkEnd w:id="0"/>
    </w:p>
    <w:p w14:paraId="506E0904" w14:textId="1A025919" w:rsidR="00AA2ABB" w:rsidRDefault="00F5745B" w:rsidP="00C10061">
      <w:pPr>
        <w:widowControl/>
        <w:shd w:val="clear" w:color="auto" w:fill="FFFFFF"/>
        <w:spacing w:line="360" w:lineRule="atLeast"/>
        <w:ind w:firstLineChars="200" w:firstLine="420"/>
        <w:jc w:val="left"/>
        <w:rPr>
          <w:rFonts w:ascii="微软雅黑" w:eastAsia="微软雅黑" w:hAnsi="微软雅黑" w:cs="Arial"/>
          <w:color w:val="333333"/>
          <w:kern w:val="0"/>
          <w:szCs w:val="21"/>
        </w:rPr>
      </w:pPr>
      <w:r>
        <w:rPr>
          <w:rFonts w:ascii="微软雅黑" w:eastAsia="微软雅黑" w:hAnsi="微软雅黑" w:cs="Arial" w:hint="eastAsia"/>
          <w:color w:val="333333"/>
          <w:kern w:val="0"/>
          <w:szCs w:val="21"/>
        </w:rPr>
        <w:t>利润</w:t>
      </w:r>
      <w:r w:rsidRPr="00F5745B">
        <w:rPr>
          <w:rFonts w:ascii="微软雅黑" w:eastAsia="微软雅黑" w:hAnsi="微软雅黑" w:cs="Arial"/>
          <w:color w:val="333333"/>
          <w:kern w:val="0"/>
          <w:szCs w:val="21"/>
        </w:rPr>
        <w:t>表是反映企业在一定</w:t>
      </w:r>
      <w:r>
        <w:rPr>
          <w:rFonts w:ascii="微软雅黑" w:eastAsia="微软雅黑" w:hAnsi="微软雅黑" w:cs="Arial" w:hint="eastAsia"/>
          <w:color w:val="333333"/>
          <w:kern w:val="0"/>
          <w:szCs w:val="21"/>
        </w:rPr>
        <w:t>会计期间</w:t>
      </w:r>
      <w:r w:rsidRPr="00F5745B">
        <w:rPr>
          <w:rFonts w:ascii="微软雅黑" w:eastAsia="微软雅黑" w:hAnsi="微软雅黑" w:cs="Arial"/>
          <w:color w:val="333333"/>
          <w:kern w:val="0"/>
          <w:szCs w:val="21"/>
        </w:rPr>
        <w:t>经营成果的报表。由于它</w:t>
      </w:r>
      <w:r>
        <w:rPr>
          <w:rFonts w:ascii="微软雅黑" w:eastAsia="微软雅黑" w:hAnsi="微软雅黑" w:cs="Arial" w:hint="eastAsia"/>
          <w:color w:val="333333"/>
          <w:kern w:val="0"/>
          <w:szCs w:val="21"/>
        </w:rPr>
        <w:t>反映</w:t>
      </w:r>
      <w:r w:rsidRPr="00F5745B">
        <w:rPr>
          <w:rFonts w:ascii="微软雅黑" w:eastAsia="微软雅黑" w:hAnsi="微软雅黑" w:cs="Arial"/>
          <w:color w:val="333333"/>
          <w:kern w:val="0"/>
          <w:szCs w:val="21"/>
        </w:rPr>
        <w:t>的是某一期间的</w:t>
      </w:r>
      <w:r>
        <w:rPr>
          <w:rFonts w:ascii="微软雅黑" w:eastAsia="微软雅黑" w:hAnsi="微软雅黑" w:cs="Arial" w:hint="eastAsia"/>
          <w:color w:val="333333"/>
          <w:kern w:val="0"/>
          <w:szCs w:val="21"/>
        </w:rPr>
        <w:t>情况</w:t>
      </w:r>
      <w:r w:rsidRPr="00F5745B">
        <w:rPr>
          <w:rFonts w:ascii="微软雅黑" w:eastAsia="微软雅黑" w:hAnsi="微软雅黑" w:cs="Arial"/>
          <w:color w:val="333333"/>
          <w:kern w:val="0"/>
          <w:szCs w:val="21"/>
        </w:rPr>
        <w:t>，所以，又被称为</w:t>
      </w:r>
      <w:r>
        <w:rPr>
          <w:rFonts w:ascii="微软雅黑" w:eastAsia="微软雅黑" w:hAnsi="微软雅黑" w:cs="Arial" w:hint="eastAsia"/>
          <w:color w:val="333333"/>
          <w:kern w:val="0"/>
          <w:szCs w:val="21"/>
        </w:rPr>
        <w:t>动态报表，</w:t>
      </w:r>
      <w:r w:rsidRPr="00F5745B">
        <w:rPr>
          <w:rFonts w:ascii="微软雅黑" w:eastAsia="微软雅黑" w:hAnsi="微软雅黑" w:cs="Arial"/>
          <w:color w:val="333333"/>
          <w:kern w:val="0"/>
          <w:szCs w:val="21"/>
        </w:rPr>
        <w:t>有时，利润表也称为</w:t>
      </w:r>
      <w:r>
        <w:rPr>
          <w:rFonts w:ascii="微软雅黑" w:eastAsia="微软雅黑" w:hAnsi="微软雅黑" w:cs="Arial" w:hint="eastAsia"/>
          <w:color w:val="333333"/>
          <w:kern w:val="0"/>
          <w:szCs w:val="21"/>
        </w:rPr>
        <w:t>损益表、收益表。</w:t>
      </w:r>
    </w:p>
    <w:p w14:paraId="0A9E0637" w14:textId="285CABEE" w:rsidR="00F5745B" w:rsidRDefault="00AA2ABB" w:rsidP="00AA2ABB">
      <w:pPr>
        <w:widowControl/>
        <w:shd w:val="clear" w:color="auto" w:fill="FFFFFF"/>
        <w:spacing w:line="360" w:lineRule="atLeast"/>
        <w:ind w:firstLineChars="200" w:firstLine="420"/>
        <w:jc w:val="left"/>
        <w:rPr>
          <w:rFonts w:ascii="微软雅黑" w:eastAsia="微软雅黑" w:hAnsi="微软雅黑" w:cs="Arial"/>
          <w:color w:val="333333"/>
          <w:kern w:val="0"/>
          <w:szCs w:val="21"/>
        </w:rPr>
      </w:pPr>
      <w:r w:rsidRPr="00AA2ABB">
        <w:rPr>
          <w:rFonts w:ascii="微软雅黑" w:eastAsia="微软雅黑" w:hAnsi="微软雅黑" w:cs="Arial"/>
          <w:color w:val="333333"/>
          <w:kern w:val="0"/>
          <w:szCs w:val="21"/>
        </w:rPr>
        <w:t>企业一定会计期间的经营成果既可能表现为盈利，也可能表现为亏损，因此，利润表也被称为损益表。它全面揭示了企业在某一特定时期实现的各种收入、发生的各种费用、成本或支出，以及企业实现的利润或发生的亏损情况。</w:t>
      </w:r>
    </w:p>
    <w:p w14:paraId="3CDF6EB1" w14:textId="7782D339" w:rsidR="0020516B" w:rsidRPr="0020516B" w:rsidRDefault="0020516B" w:rsidP="0020516B">
      <w:pPr>
        <w:widowControl/>
        <w:shd w:val="clear" w:color="auto" w:fill="FFFFFF"/>
        <w:spacing w:line="360" w:lineRule="atLeast"/>
        <w:jc w:val="left"/>
        <w:rPr>
          <w:rFonts w:ascii="微软雅黑" w:eastAsia="微软雅黑" w:hAnsi="微软雅黑" w:cs="Arial"/>
          <w:b/>
          <w:bCs/>
          <w:color w:val="333333"/>
          <w:kern w:val="0"/>
          <w:sz w:val="24"/>
          <w:szCs w:val="24"/>
        </w:rPr>
      </w:pPr>
      <w:r w:rsidRPr="0020516B">
        <w:rPr>
          <w:rFonts w:ascii="微软雅黑" w:eastAsia="微软雅黑" w:hAnsi="微软雅黑" w:cs="Arial" w:hint="eastAsia"/>
          <w:b/>
          <w:bCs/>
          <w:color w:val="333333"/>
          <w:kern w:val="0"/>
          <w:sz w:val="24"/>
          <w:szCs w:val="24"/>
        </w:rPr>
        <w:t>主营业务收入：</w:t>
      </w:r>
    </w:p>
    <w:p w14:paraId="78F07157" w14:textId="4324013B" w:rsidR="0020516B" w:rsidRDefault="0020516B" w:rsidP="0020516B">
      <w:pPr>
        <w:widowControl/>
        <w:shd w:val="clear" w:color="auto" w:fill="FFFFFF"/>
        <w:spacing w:line="360" w:lineRule="atLeast"/>
        <w:jc w:val="left"/>
        <w:rPr>
          <w:rFonts w:ascii="微软雅黑" w:eastAsia="微软雅黑" w:hAnsi="微软雅黑" w:cs="Arial"/>
          <w:color w:val="333333"/>
          <w:kern w:val="0"/>
          <w:szCs w:val="21"/>
        </w:rPr>
      </w:pPr>
      <w:r w:rsidRPr="0020516B">
        <w:rPr>
          <w:rFonts w:ascii="微软雅黑" w:eastAsia="微软雅黑" w:hAnsi="微软雅黑" w:cs="Arial"/>
          <w:color w:val="333333"/>
          <w:kern w:val="0"/>
          <w:szCs w:val="21"/>
        </w:rPr>
        <w:t>主营业务收入是指企业从事本行业生产经营活动所取得的营业收入。主营业务收入根据各行业企业所从事的不同活动而有所区别，如工业企业的主营业务收入指“产品销售收入”;建筑业企业的主营业务收入指工程结算收入“</w:t>
      </w:r>
      <w:r w:rsidR="00FD376A">
        <w:rPr>
          <w:rFonts w:ascii="微软雅黑" w:eastAsia="微软雅黑" w:hAnsi="微软雅黑" w:cs="Arial" w:hint="eastAsia"/>
          <w:color w:val="333333"/>
          <w:kern w:val="0"/>
          <w:szCs w:val="21"/>
        </w:rPr>
        <w:t>。</w:t>
      </w:r>
    </w:p>
    <w:p w14:paraId="18A38466" w14:textId="77777777" w:rsidR="00264000" w:rsidRDefault="00FD376A" w:rsidP="0020516B">
      <w:pPr>
        <w:widowControl/>
        <w:shd w:val="clear" w:color="auto" w:fill="FFFFFF"/>
        <w:spacing w:line="360" w:lineRule="atLeast"/>
        <w:jc w:val="left"/>
        <w:rPr>
          <w:rFonts w:ascii="微软雅黑" w:eastAsia="微软雅黑" w:hAnsi="微软雅黑"/>
        </w:rPr>
      </w:pPr>
      <w:r w:rsidRPr="00456960">
        <w:rPr>
          <w:rFonts w:ascii="微软雅黑" w:eastAsia="微软雅黑" w:hAnsi="微软雅黑" w:hint="eastAsia"/>
          <w:b/>
          <w:bCs/>
          <w:sz w:val="24"/>
          <w:szCs w:val="24"/>
        </w:rPr>
        <w:t>营业外收入</w:t>
      </w:r>
      <w:r w:rsidRPr="00456960">
        <w:rPr>
          <w:rFonts w:ascii="微软雅黑" w:eastAsia="微软雅黑" w:hAnsi="微软雅黑" w:hint="eastAsia"/>
        </w:rPr>
        <w:t>：</w:t>
      </w:r>
    </w:p>
    <w:p w14:paraId="575012D8" w14:textId="797856B6" w:rsidR="00FD376A" w:rsidRPr="00456960" w:rsidRDefault="00FD376A" w:rsidP="0020516B">
      <w:pPr>
        <w:widowControl/>
        <w:shd w:val="clear" w:color="auto" w:fill="FFFFFF"/>
        <w:spacing w:line="360" w:lineRule="atLeast"/>
        <w:jc w:val="left"/>
        <w:rPr>
          <w:rFonts w:ascii="微软雅黑" w:eastAsia="微软雅黑" w:hAnsi="微软雅黑" w:cs="Arial"/>
          <w:color w:val="333333"/>
          <w:kern w:val="0"/>
          <w:szCs w:val="21"/>
        </w:rPr>
      </w:pPr>
      <w:r w:rsidRPr="00456960">
        <w:rPr>
          <w:rFonts w:ascii="微软雅黑" w:eastAsia="微软雅黑" w:hAnsi="微软雅黑" w:hint="eastAsia"/>
        </w:rPr>
        <w:t>营业外收入</w:t>
      </w:r>
      <w:r w:rsidRPr="00456960">
        <w:rPr>
          <w:rFonts w:ascii="微软雅黑" w:eastAsia="微软雅黑" w:hAnsi="微软雅黑" w:cs="Arial"/>
          <w:color w:val="333333"/>
          <w:szCs w:val="21"/>
          <w:shd w:val="clear" w:color="auto" w:fill="FFFFFF"/>
        </w:rPr>
        <w:t>指企业发生的与生产经营无直接关系的各项收入。它主要包括下列内容：</w:t>
      </w:r>
      <w:r w:rsidR="00456960" w:rsidRPr="00456960">
        <w:rPr>
          <w:rFonts w:ascii="微软雅黑" w:eastAsia="微软雅黑" w:hAnsi="微软雅黑" w:cs="宋体" w:hint="eastAsia"/>
          <w:color w:val="333333"/>
          <w:szCs w:val="21"/>
          <w:shd w:val="clear" w:color="auto" w:fill="FFFFFF"/>
        </w:rPr>
        <w:t>1</w:t>
      </w:r>
      <w:r w:rsidR="00456960" w:rsidRPr="00456960">
        <w:rPr>
          <w:rFonts w:ascii="微软雅黑" w:eastAsia="微软雅黑" w:hAnsi="微软雅黑" w:hint="eastAsia"/>
        </w:rPr>
        <w:t>固定资产</w:t>
      </w:r>
      <w:r w:rsidRPr="00456960">
        <w:rPr>
          <w:rFonts w:ascii="微软雅黑" w:eastAsia="微软雅黑" w:hAnsi="微软雅黑" w:cs="Arial"/>
          <w:color w:val="333333"/>
          <w:szCs w:val="21"/>
          <w:shd w:val="clear" w:color="auto" w:fill="FFFFFF"/>
        </w:rPr>
        <w:t>盘盈</w:t>
      </w:r>
      <w:r w:rsidR="00264000">
        <w:rPr>
          <w:rFonts w:ascii="微软雅黑" w:eastAsia="微软雅黑" w:hAnsi="微软雅黑" w:cs="Arial" w:hint="eastAsia"/>
          <w:color w:val="333333"/>
          <w:szCs w:val="21"/>
          <w:shd w:val="clear" w:color="auto" w:fill="FFFFFF"/>
        </w:rPr>
        <w:t>；</w:t>
      </w:r>
      <w:r w:rsidR="00456960" w:rsidRPr="00456960">
        <w:rPr>
          <w:rFonts w:ascii="微软雅黑" w:eastAsia="微软雅黑" w:hAnsi="微软雅黑" w:cs="宋体" w:hint="eastAsia"/>
          <w:color w:val="333333"/>
          <w:szCs w:val="21"/>
          <w:shd w:val="clear" w:color="auto" w:fill="FFFFFF"/>
        </w:rPr>
        <w:t>2</w:t>
      </w:r>
      <w:r w:rsidRPr="00456960">
        <w:rPr>
          <w:rFonts w:ascii="微软雅黑" w:eastAsia="微软雅黑" w:hAnsi="微软雅黑" w:cs="Arial"/>
          <w:color w:val="333333"/>
          <w:szCs w:val="21"/>
          <w:shd w:val="clear" w:color="auto" w:fill="FFFFFF"/>
        </w:rPr>
        <w:t>处置固定资产</w:t>
      </w:r>
      <w:r w:rsidR="00456960" w:rsidRPr="00456960">
        <w:rPr>
          <w:rFonts w:ascii="微软雅黑" w:eastAsia="微软雅黑" w:hAnsi="微软雅黑" w:hint="eastAsia"/>
        </w:rPr>
        <w:t>净收益</w:t>
      </w:r>
      <w:r w:rsidR="00264000">
        <w:rPr>
          <w:rFonts w:ascii="微软雅黑" w:eastAsia="微软雅黑" w:hAnsi="微软雅黑" w:hint="eastAsia"/>
        </w:rPr>
        <w:t>；</w:t>
      </w:r>
      <w:r w:rsidRPr="00456960">
        <w:rPr>
          <w:rFonts w:ascii="微软雅黑" w:eastAsia="微软雅黑" w:hAnsi="微软雅黑" w:cs="宋体" w:hint="eastAsia"/>
          <w:color w:val="333333"/>
          <w:szCs w:val="21"/>
          <w:shd w:val="clear" w:color="auto" w:fill="FFFFFF"/>
        </w:rPr>
        <w:t>3</w:t>
      </w:r>
      <w:r w:rsidR="00456960" w:rsidRPr="00456960">
        <w:rPr>
          <w:rFonts w:ascii="微软雅黑" w:eastAsia="微软雅黑" w:hAnsi="微软雅黑" w:hint="eastAsia"/>
        </w:rPr>
        <w:t>出售</w:t>
      </w:r>
      <w:r w:rsidRPr="00456960">
        <w:rPr>
          <w:rFonts w:ascii="微软雅黑" w:eastAsia="微软雅黑" w:hAnsi="微软雅黑" w:cs="Arial"/>
          <w:color w:val="333333"/>
          <w:szCs w:val="21"/>
          <w:shd w:val="clear" w:color="auto" w:fill="FFFFFF"/>
        </w:rPr>
        <w:t>无形资产收益</w:t>
      </w:r>
      <w:r w:rsidR="00264000">
        <w:rPr>
          <w:rFonts w:ascii="微软雅黑" w:eastAsia="微软雅黑" w:hAnsi="微软雅黑" w:cs="Arial" w:hint="eastAsia"/>
          <w:color w:val="333333"/>
          <w:szCs w:val="21"/>
          <w:shd w:val="clear" w:color="auto" w:fill="FFFFFF"/>
        </w:rPr>
        <w:t>；</w:t>
      </w:r>
      <w:r w:rsidRPr="00456960">
        <w:rPr>
          <w:rFonts w:ascii="微软雅黑" w:eastAsia="微软雅黑" w:hAnsi="微软雅黑" w:cs="宋体" w:hint="eastAsia"/>
          <w:color w:val="333333"/>
          <w:szCs w:val="21"/>
          <w:shd w:val="clear" w:color="auto" w:fill="FFFFFF"/>
        </w:rPr>
        <w:t>4</w:t>
      </w:r>
      <w:r w:rsidR="00456960" w:rsidRPr="00456960">
        <w:rPr>
          <w:rFonts w:ascii="微软雅黑" w:eastAsia="微软雅黑" w:hAnsi="微软雅黑" w:hint="eastAsia"/>
        </w:rPr>
        <w:t>罚款</w:t>
      </w:r>
      <w:r w:rsidRPr="00456960">
        <w:rPr>
          <w:rFonts w:ascii="微软雅黑" w:eastAsia="微软雅黑" w:hAnsi="微软雅黑" w:cs="Arial"/>
          <w:color w:val="333333"/>
          <w:szCs w:val="21"/>
          <w:shd w:val="clear" w:color="auto" w:fill="FFFFFF"/>
        </w:rPr>
        <w:t>净收入</w:t>
      </w:r>
      <w:r w:rsidR="00264000">
        <w:rPr>
          <w:rFonts w:ascii="微软雅黑" w:eastAsia="微软雅黑" w:hAnsi="微软雅黑" w:cs="Arial" w:hint="eastAsia"/>
          <w:color w:val="333333"/>
          <w:szCs w:val="21"/>
          <w:shd w:val="clear" w:color="auto" w:fill="FFFFFF"/>
        </w:rPr>
        <w:t>等。</w:t>
      </w:r>
    </w:p>
    <w:p w14:paraId="1803B11A" w14:textId="53F3D5C0" w:rsidR="005C373C" w:rsidRPr="00456960" w:rsidRDefault="00456960" w:rsidP="005C373C">
      <w:pPr>
        <w:widowControl/>
        <w:shd w:val="clear" w:color="auto" w:fill="FFFFFF"/>
        <w:spacing w:line="360" w:lineRule="atLeast"/>
        <w:jc w:val="left"/>
        <w:rPr>
          <w:rFonts w:ascii="微软雅黑" w:eastAsia="微软雅黑" w:hAnsi="微软雅黑" w:cs="Arial"/>
          <w:color w:val="333333"/>
          <w:kern w:val="0"/>
          <w:szCs w:val="21"/>
        </w:rPr>
      </w:pPr>
      <w:r w:rsidRPr="00456960">
        <w:rPr>
          <w:rFonts w:ascii="微软雅黑" w:eastAsia="微软雅黑" w:hAnsi="微软雅黑" w:hint="eastAsia"/>
          <w:b/>
          <w:bCs/>
          <w:sz w:val="24"/>
          <w:szCs w:val="24"/>
        </w:rPr>
        <w:t>其他业务收入</w:t>
      </w:r>
      <w:r>
        <w:rPr>
          <w:rFonts w:ascii="微软雅黑" w:eastAsia="微软雅黑" w:hAnsi="微软雅黑" w:cs="Arial" w:hint="eastAsia"/>
          <w:color w:val="333333"/>
          <w:szCs w:val="21"/>
          <w:shd w:val="clear" w:color="auto" w:fill="FFFFFF"/>
        </w:rPr>
        <w:t>：</w:t>
      </w:r>
      <w:r w:rsidR="00FD376A" w:rsidRPr="00456960">
        <w:rPr>
          <w:rFonts w:ascii="微软雅黑" w:eastAsia="微软雅黑" w:hAnsi="微软雅黑" w:cs="Arial"/>
          <w:color w:val="333333"/>
          <w:szCs w:val="21"/>
          <w:shd w:val="clear" w:color="auto" w:fill="FFFFFF"/>
        </w:rPr>
        <w:t>是指企业除</w:t>
      </w:r>
      <w:r w:rsidRPr="00456960">
        <w:rPr>
          <w:rFonts w:ascii="微软雅黑" w:eastAsia="微软雅黑" w:hAnsi="微软雅黑" w:hint="eastAsia"/>
        </w:rPr>
        <w:t>商品销售</w:t>
      </w:r>
      <w:r w:rsidR="00FD376A" w:rsidRPr="00456960">
        <w:rPr>
          <w:rFonts w:ascii="微软雅黑" w:eastAsia="微软雅黑" w:hAnsi="微软雅黑" w:cs="Arial"/>
          <w:color w:val="333333"/>
          <w:szCs w:val="21"/>
          <w:shd w:val="clear" w:color="auto" w:fill="FFFFFF"/>
        </w:rPr>
        <w:t>以外的其他销售及其他业务所取得的收入。</w:t>
      </w:r>
      <w:r w:rsidR="00891E6F" w:rsidRPr="00891E6F">
        <w:rPr>
          <w:rFonts w:ascii="微软雅黑" w:eastAsia="微软雅黑" w:hAnsi="微软雅黑" w:cs="Arial"/>
          <w:color w:val="333333"/>
          <w:szCs w:val="21"/>
          <w:shd w:val="clear" w:color="auto" w:fill="FFFFFF"/>
        </w:rPr>
        <w:t>它包括材料销售、</w:t>
      </w:r>
      <w:hyperlink r:id="rId6" w:tgtFrame="_blank" w:history="1">
        <w:r w:rsidR="00891E6F" w:rsidRPr="00891E6F">
          <w:rPr>
            <w:rFonts w:ascii="微软雅黑" w:eastAsia="微软雅黑" w:hAnsi="微软雅黑"/>
            <w:color w:val="333333"/>
          </w:rPr>
          <w:t>技术转让</w:t>
        </w:r>
      </w:hyperlink>
      <w:r w:rsidR="00891E6F" w:rsidRPr="00891E6F">
        <w:rPr>
          <w:rFonts w:ascii="微软雅黑" w:eastAsia="微软雅黑" w:hAnsi="微软雅黑" w:cs="Arial"/>
          <w:color w:val="333333"/>
          <w:szCs w:val="21"/>
          <w:shd w:val="clear" w:color="auto" w:fill="FFFFFF"/>
        </w:rPr>
        <w:t>、代购代销、固定资产出租、</w:t>
      </w:r>
      <w:hyperlink r:id="rId7" w:tgtFrame="_blank" w:history="1">
        <w:r w:rsidR="00891E6F" w:rsidRPr="00891E6F">
          <w:rPr>
            <w:rFonts w:ascii="微软雅黑" w:eastAsia="微软雅黑" w:hAnsi="微软雅黑"/>
            <w:color w:val="333333"/>
          </w:rPr>
          <w:t>包装物</w:t>
        </w:r>
      </w:hyperlink>
      <w:r w:rsidR="00891E6F" w:rsidRPr="00891E6F">
        <w:rPr>
          <w:rFonts w:ascii="微软雅黑" w:eastAsia="微软雅黑" w:hAnsi="微软雅黑" w:cs="Arial"/>
          <w:color w:val="333333"/>
          <w:szCs w:val="21"/>
          <w:shd w:val="clear" w:color="auto" w:fill="FFFFFF"/>
        </w:rPr>
        <w:t>出租、运输等非工业性劳务收</w:t>
      </w:r>
      <w:r w:rsidR="00891E6F">
        <w:rPr>
          <w:rFonts w:ascii="Arial" w:hAnsi="Arial" w:cs="Arial"/>
          <w:color w:val="333333"/>
          <w:szCs w:val="21"/>
          <w:shd w:val="clear" w:color="auto" w:fill="FFFFFF"/>
        </w:rPr>
        <w:t>入。</w:t>
      </w:r>
    </w:p>
    <w:p w14:paraId="58ADB6F4" w14:textId="02318000" w:rsidR="00040BB8" w:rsidRDefault="00456960">
      <w:pPr>
        <w:rPr>
          <w:rFonts w:ascii="微软雅黑" w:eastAsia="微软雅黑" w:hAnsi="微软雅黑" w:cs="Arial"/>
          <w:color w:val="333333"/>
          <w:szCs w:val="21"/>
          <w:shd w:val="clear" w:color="auto" w:fill="FFFFFF"/>
        </w:rPr>
      </w:pPr>
      <w:r w:rsidRPr="00456960">
        <w:rPr>
          <w:rFonts w:ascii="微软雅黑" w:eastAsia="微软雅黑" w:hAnsi="微软雅黑" w:hint="eastAsia"/>
          <w:b/>
          <w:bCs/>
          <w:sz w:val="24"/>
          <w:szCs w:val="24"/>
        </w:rPr>
        <w:t>营业外支出</w:t>
      </w:r>
      <w:r>
        <w:rPr>
          <w:rFonts w:ascii="微软雅黑" w:eastAsia="微软雅黑" w:hAnsi="微软雅黑" w:hint="eastAsia"/>
          <w:b/>
          <w:bCs/>
          <w:sz w:val="24"/>
          <w:szCs w:val="24"/>
        </w:rPr>
        <w:t>：</w:t>
      </w:r>
      <w:r w:rsidR="00FD376A" w:rsidRPr="00456960">
        <w:rPr>
          <w:rFonts w:ascii="微软雅黑" w:eastAsia="微软雅黑" w:hAnsi="微软雅黑" w:cs="Arial"/>
          <w:color w:val="333333"/>
          <w:szCs w:val="21"/>
          <w:shd w:val="clear" w:color="auto" w:fill="FFFFFF"/>
        </w:rPr>
        <w:t>是指企业发生的与其生产经营无直接关系的各项支出，如</w:t>
      </w:r>
      <w:r w:rsidRPr="00456960">
        <w:rPr>
          <w:rFonts w:ascii="微软雅黑" w:eastAsia="微软雅黑" w:hAnsi="微软雅黑" w:hint="eastAsia"/>
        </w:rPr>
        <w:t>固定资产盘亏</w:t>
      </w:r>
      <w:r w:rsidR="00FD376A" w:rsidRPr="00456960">
        <w:rPr>
          <w:rFonts w:ascii="微软雅黑" w:eastAsia="微软雅黑" w:hAnsi="微软雅黑" w:cs="Arial"/>
          <w:color w:val="333333"/>
          <w:szCs w:val="21"/>
          <w:shd w:val="clear" w:color="auto" w:fill="FFFFFF"/>
        </w:rPr>
        <w:t>、处置固定资产净损失、</w:t>
      </w:r>
    </w:p>
    <w:p w14:paraId="7423B102" w14:textId="77777777" w:rsidR="00A071F0" w:rsidRDefault="00264000" w:rsidP="00264000">
      <w:pPr>
        <w:rPr>
          <w:rFonts w:ascii="微软雅黑" w:eastAsia="微软雅黑" w:hAnsi="微软雅黑" w:cs="Arial"/>
          <w:color w:val="333333"/>
          <w:szCs w:val="21"/>
          <w:shd w:val="clear" w:color="auto" w:fill="FFFFFF"/>
        </w:rPr>
      </w:pPr>
      <w:r w:rsidRPr="00264000">
        <w:rPr>
          <w:rFonts w:ascii="微软雅黑" w:eastAsia="微软雅黑" w:hAnsi="微软雅黑" w:cs="Arial" w:hint="eastAsia"/>
          <w:b/>
          <w:bCs/>
          <w:color w:val="333333"/>
          <w:sz w:val="24"/>
          <w:szCs w:val="24"/>
          <w:shd w:val="clear" w:color="auto" w:fill="FFFFFF"/>
        </w:rPr>
        <w:lastRenderedPageBreak/>
        <w:t>营业成本</w:t>
      </w:r>
      <w:r>
        <w:rPr>
          <w:rFonts w:ascii="微软雅黑" w:eastAsia="微软雅黑" w:hAnsi="微软雅黑" w:cs="Arial" w:hint="eastAsia"/>
          <w:b/>
          <w:bCs/>
          <w:color w:val="333333"/>
          <w:sz w:val="24"/>
          <w:szCs w:val="24"/>
          <w:shd w:val="clear" w:color="auto" w:fill="FFFFFF"/>
        </w:rPr>
        <w:t>：</w:t>
      </w:r>
      <w:r w:rsidR="00A071F0" w:rsidRPr="00A071F0">
        <w:rPr>
          <w:rFonts w:ascii="微软雅黑" w:eastAsia="微软雅黑" w:hAnsi="微软雅黑" w:cs="Arial" w:hint="eastAsia"/>
          <w:color w:val="333333"/>
          <w:szCs w:val="21"/>
          <w:shd w:val="clear" w:color="auto" w:fill="FFFFFF"/>
        </w:rPr>
        <w:t>是指企业所销售商品或者提供劳务的成本。营业成本应当与所销售商品或者所提供劳务而取得的收入进行配比。营业成本是与营业收入直接相关的，已经确定了归属期和归属对象的各种直接费用。营业成本主要包括主营业务成本、其他业务成本。</w:t>
      </w:r>
    </w:p>
    <w:p w14:paraId="514130ED" w14:textId="00287AD6" w:rsidR="00264000" w:rsidRDefault="00264000" w:rsidP="00264000">
      <w:pPr>
        <w:rPr>
          <w:rFonts w:ascii="微软雅黑" w:eastAsia="微软雅黑" w:hAnsi="微软雅黑" w:cs="Arial"/>
          <w:color w:val="333333"/>
          <w:szCs w:val="21"/>
          <w:shd w:val="clear" w:color="auto" w:fill="FFFFFF"/>
        </w:rPr>
      </w:pPr>
      <w:r w:rsidRPr="00264000">
        <w:rPr>
          <w:rFonts w:ascii="微软雅黑" w:eastAsia="微软雅黑" w:hAnsi="微软雅黑" w:cs="Arial" w:hint="eastAsia"/>
          <w:b/>
          <w:bCs/>
          <w:color w:val="333333"/>
          <w:sz w:val="24"/>
          <w:szCs w:val="24"/>
          <w:shd w:val="clear" w:color="auto" w:fill="FFFFFF"/>
        </w:rPr>
        <w:t>四费：</w:t>
      </w:r>
      <w:r w:rsidRPr="00264000">
        <w:rPr>
          <w:rFonts w:ascii="微软雅黑" w:eastAsia="微软雅黑" w:hAnsi="微软雅黑" w:cs="Arial" w:hint="eastAsia"/>
          <w:color w:val="333333"/>
          <w:szCs w:val="21"/>
          <w:shd w:val="clear" w:color="auto" w:fill="FFFFFF"/>
        </w:rPr>
        <w:t>销售费用、管理费用、研发费用、财务费用</w:t>
      </w:r>
      <w:r w:rsidR="00A071F0">
        <w:rPr>
          <w:rFonts w:ascii="微软雅黑" w:eastAsia="微软雅黑" w:hAnsi="微软雅黑" w:cs="Arial" w:hint="eastAsia"/>
          <w:color w:val="333333"/>
          <w:szCs w:val="21"/>
          <w:shd w:val="clear" w:color="auto" w:fill="FFFFFF"/>
        </w:rPr>
        <w:t>。</w:t>
      </w:r>
    </w:p>
    <w:p w14:paraId="2BFD18F1" w14:textId="4805E7AE" w:rsidR="00A071F0" w:rsidRDefault="00A071F0" w:rsidP="00A071F0">
      <w:pPr>
        <w:rPr>
          <w:rFonts w:ascii="微软雅黑" w:eastAsia="微软雅黑" w:hAnsi="微软雅黑" w:cs="Arial"/>
          <w:color w:val="333333"/>
          <w:szCs w:val="21"/>
          <w:shd w:val="clear" w:color="auto" w:fill="FFFFFF"/>
        </w:rPr>
      </w:pPr>
      <w:r w:rsidRPr="00A071F0">
        <w:rPr>
          <w:rFonts w:ascii="微软雅黑" w:eastAsia="微软雅黑" w:hAnsi="微软雅黑" w:cs="Arial" w:hint="eastAsia"/>
          <w:b/>
          <w:bCs/>
          <w:color w:val="333333"/>
          <w:sz w:val="24"/>
          <w:szCs w:val="24"/>
          <w:shd w:val="clear" w:color="auto" w:fill="FFFFFF"/>
        </w:rPr>
        <w:t>公允价值变动收益</w:t>
      </w:r>
      <w:r>
        <w:rPr>
          <w:rFonts w:ascii="微软雅黑" w:eastAsia="微软雅黑" w:hAnsi="微软雅黑" w:cs="Arial" w:hint="eastAsia"/>
          <w:b/>
          <w:bCs/>
          <w:color w:val="333333"/>
          <w:sz w:val="24"/>
          <w:szCs w:val="24"/>
          <w:shd w:val="clear" w:color="auto" w:fill="FFFFFF"/>
        </w:rPr>
        <w:t>：</w:t>
      </w:r>
      <w:r w:rsidRPr="00A071F0">
        <w:rPr>
          <w:rFonts w:ascii="微软雅黑" w:eastAsia="微软雅黑" w:hAnsi="微软雅黑" w:cs="Arial" w:hint="eastAsia"/>
          <w:color w:val="333333"/>
          <w:szCs w:val="21"/>
          <w:shd w:val="clear" w:color="auto" w:fill="FFFFFF"/>
        </w:rPr>
        <w:t>是指以公允价值模式计量且其变动计入当期损益的金融资产或金融负债和以公允模式进行后续计量的投资性房地产因公允价值变动获得的账面收益。</w:t>
      </w:r>
    </w:p>
    <w:p w14:paraId="53396405" w14:textId="40877D2D" w:rsidR="00A071F0" w:rsidRDefault="00A071F0" w:rsidP="00A071F0">
      <w:pPr>
        <w:rPr>
          <w:rFonts w:ascii="微软雅黑" w:eastAsia="微软雅黑" w:hAnsi="微软雅黑" w:cs="Arial"/>
          <w:color w:val="333333"/>
          <w:szCs w:val="21"/>
          <w:shd w:val="clear" w:color="auto" w:fill="FFFFFF"/>
        </w:rPr>
      </w:pPr>
      <w:r w:rsidRPr="00A071F0">
        <w:rPr>
          <w:rFonts w:ascii="微软雅黑" w:eastAsia="微软雅黑" w:hAnsi="微软雅黑" w:cs="Arial" w:hint="eastAsia"/>
          <w:b/>
          <w:bCs/>
          <w:color w:val="333333"/>
          <w:sz w:val="24"/>
          <w:szCs w:val="24"/>
          <w:shd w:val="clear" w:color="auto" w:fill="FFFFFF"/>
        </w:rPr>
        <w:t>投资收益</w:t>
      </w:r>
      <w:r>
        <w:rPr>
          <w:rFonts w:ascii="微软雅黑" w:eastAsia="微软雅黑" w:hAnsi="微软雅黑" w:cs="Arial" w:hint="eastAsia"/>
          <w:b/>
          <w:bCs/>
          <w:color w:val="333333"/>
          <w:sz w:val="24"/>
          <w:szCs w:val="24"/>
          <w:shd w:val="clear" w:color="auto" w:fill="FFFFFF"/>
        </w:rPr>
        <w:t>：</w:t>
      </w:r>
      <w:r w:rsidRPr="00A071F0">
        <w:rPr>
          <w:rFonts w:ascii="微软雅黑" w:eastAsia="微软雅黑" w:hAnsi="微软雅黑" w:cs="Arial" w:hint="eastAsia"/>
          <w:color w:val="333333"/>
          <w:szCs w:val="21"/>
          <w:shd w:val="clear" w:color="auto" w:fill="FFFFFF"/>
        </w:rPr>
        <w:t>指公司投资获得的利润、股利、利息、租金等以及处置以公允价值模式计量且其变动计入当期损益的金融资产或金融负债、可供出售金融资产、投资性房地产实现的收益。</w:t>
      </w:r>
    </w:p>
    <w:p w14:paraId="222141F2" w14:textId="77777777" w:rsidR="003013D2" w:rsidRDefault="003013D2" w:rsidP="003013D2">
      <w:pPr>
        <w:rPr>
          <w:rFonts w:ascii="Arial" w:eastAsia="宋体" w:hAnsi="Arial" w:cs="Arial"/>
          <w:color w:val="191919"/>
          <w:sz w:val="24"/>
          <w:shd w:val="clear" w:color="auto" w:fill="FFFFFF"/>
        </w:rPr>
      </w:pPr>
      <w:r>
        <w:rPr>
          <w:rFonts w:ascii="Arial" w:eastAsia="宋体" w:hAnsi="Arial" w:cs="Arial" w:hint="eastAsia"/>
          <w:color w:val="191919"/>
          <w:sz w:val="24"/>
          <w:shd w:val="clear" w:color="auto" w:fill="FFFFFF"/>
        </w:rPr>
        <w:t>投资收益属于利润表内的项目。</w:t>
      </w:r>
    </w:p>
    <w:p w14:paraId="157E98D5" w14:textId="77777777" w:rsidR="00C12534" w:rsidRPr="00C12534" w:rsidRDefault="00C12534" w:rsidP="00C12534">
      <w:pPr>
        <w:rPr>
          <w:rFonts w:ascii="微软雅黑" w:eastAsia="微软雅黑" w:hAnsi="微软雅黑" w:cs="Arial"/>
          <w:color w:val="333333"/>
          <w:szCs w:val="21"/>
          <w:shd w:val="clear" w:color="auto" w:fill="FFFFFF"/>
        </w:rPr>
      </w:pPr>
      <w:r w:rsidRPr="00C12534">
        <w:rPr>
          <w:rFonts w:ascii="微软雅黑" w:eastAsia="微软雅黑" w:hAnsi="微软雅黑" w:cs="Arial" w:hint="eastAsia"/>
          <w:b/>
          <w:bCs/>
          <w:color w:val="333333"/>
          <w:sz w:val="24"/>
          <w:szCs w:val="24"/>
          <w:shd w:val="clear" w:color="auto" w:fill="FFFFFF"/>
        </w:rPr>
        <w:t>基本每股收益</w:t>
      </w:r>
      <w:r w:rsidRPr="00C12534">
        <w:rPr>
          <w:rFonts w:ascii="微软雅黑" w:eastAsia="微软雅黑" w:hAnsi="微软雅黑" w:cs="Arial"/>
          <w:color w:val="333333"/>
          <w:szCs w:val="21"/>
          <w:shd w:val="clear" w:color="auto" w:fill="FFFFFF"/>
        </w:rPr>
        <w:t xml:space="preserve"> =归属母公司股东的净利润/总股本；</w:t>
      </w:r>
    </w:p>
    <w:p w14:paraId="34B9F100" w14:textId="67DD8D59" w:rsidR="00C12534" w:rsidRPr="00C12534" w:rsidRDefault="00C12534" w:rsidP="00C12534">
      <w:pPr>
        <w:rPr>
          <w:rFonts w:ascii="微软雅黑" w:eastAsia="微软雅黑" w:hAnsi="微软雅黑" w:cs="Arial"/>
          <w:color w:val="333333"/>
          <w:szCs w:val="21"/>
          <w:shd w:val="clear" w:color="auto" w:fill="FFFFFF"/>
        </w:rPr>
      </w:pPr>
      <w:r w:rsidRPr="00C12534">
        <w:rPr>
          <w:rFonts w:ascii="微软雅黑" w:eastAsia="微软雅黑" w:hAnsi="微软雅黑" w:cs="Arial" w:hint="eastAsia"/>
          <w:b/>
          <w:bCs/>
          <w:color w:val="333333"/>
          <w:sz w:val="24"/>
          <w:szCs w:val="24"/>
          <w:shd w:val="clear" w:color="auto" w:fill="FFFFFF"/>
        </w:rPr>
        <w:t>稀释每股收益</w:t>
      </w:r>
      <w:r w:rsidRPr="00C12534">
        <w:rPr>
          <w:rFonts w:ascii="微软雅黑" w:eastAsia="微软雅黑" w:hAnsi="微软雅黑" w:cs="Arial"/>
          <w:color w:val="333333"/>
          <w:szCs w:val="21"/>
          <w:shd w:val="clear" w:color="auto" w:fill="FFFFFF"/>
        </w:rPr>
        <w:t xml:space="preserve"> =归属母公司股东的净利润/（总股本+潜在股本）</w:t>
      </w:r>
    </w:p>
    <w:p w14:paraId="6B40BF67" w14:textId="740A28B1" w:rsidR="00C12534" w:rsidRDefault="00C12534" w:rsidP="00C12534">
      <w:pPr>
        <w:rPr>
          <w:rFonts w:ascii="微软雅黑" w:eastAsia="微软雅黑" w:hAnsi="微软雅黑" w:cs="Arial"/>
          <w:color w:val="333333"/>
          <w:szCs w:val="21"/>
          <w:shd w:val="clear" w:color="auto" w:fill="FFFFFF"/>
        </w:rPr>
      </w:pPr>
      <w:r w:rsidRPr="00C12534">
        <w:rPr>
          <w:rFonts w:ascii="微软雅黑" w:eastAsia="微软雅黑" w:hAnsi="微软雅黑" w:cs="Arial" w:hint="eastAsia"/>
          <w:b/>
          <w:bCs/>
          <w:color w:val="333333"/>
          <w:sz w:val="24"/>
          <w:szCs w:val="24"/>
          <w:shd w:val="clear" w:color="auto" w:fill="FFFFFF"/>
        </w:rPr>
        <w:t>潜在股本</w:t>
      </w:r>
      <w:r>
        <w:rPr>
          <w:rFonts w:ascii="微软雅黑" w:eastAsia="微软雅黑" w:hAnsi="微软雅黑" w:cs="Arial" w:hint="eastAsia"/>
          <w:b/>
          <w:bCs/>
          <w:color w:val="333333"/>
          <w:sz w:val="24"/>
          <w:szCs w:val="24"/>
          <w:shd w:val="clear" w:color="auto" w:fill="FFFFFF"/>
        </w:rPr>
        <w:t>：</w:t>
      </w:r>
      <w:r w:rsidRPr="00C12534">
        <w:rPr>
          <w:rFonts w:ascii="微软雅黑" w:eastAsia="微软雅黑" w:hAnsi="微软雅黑" w:cs="Arial" w:hint="eastAsia"/>
          <w:color w:val="333333"/>
          <w:szCs w:val="21"/>
          <w:shd w:val="clear" w:color="auto" w:fill="FFFFFF"/>
        </w:rPr>
        <w:t>指公司发行的可以增加股本的金融工具可能带来的股本的增加。常见的有可转换债券、认股权证等。这些工具的持有者可以转股，从而导致总股本的增加。</w:t>
      </w:r>
    </w:p>
    <w:p w14:paraId="44C81060" w14:textId="77777777" w:rsidR="004E0EEE" w:rsidRPr="00C12534" w:rsidRDefault="004E0EEE" w:rsidP="00C12534">
      <w:pPr>
        <w:rPr>
          <w:rFonts w:ascii="微软雅黑" w:eastAsia="微软雅黑" w:hAnsi="微软雅黑" w:cs="Arial"/>
          <w:b/>
          <w:bCs/>
          <w:color w:val="333333"/>
          <w:sz w:val="24"/>
          <w:szCs w:val="24"/>
          <w:shd w:val="clear" w:color="auto" w:fill="FFFFFF"/>
        </w:rPr>
      </w:pPr>
    </w:p>
    <w:p w14:paraId="56D0E753" w14:textId="77777777" w:rsidR="00264000" w:rsidRPr="00264000" w:rsidRDefault="00264000" w:rsidP="00264000">
      <w:pPr>
        <w:rPr>
          <w:rFonts w:ascii="微软雅黑" w:eastAsia="微软雅黑" w:hAnsi="微软雅黑" w:cs="Arial"/>
          <w:color w:val="333333"/>
          <w:szCs w:val="21"/>
          <w:shd w:val="clear" w:color="auto" w:fill="FFFFFF"/>
        </w:rPr>
      </w:pPr>
    </w:p>
    <w:p w14:paraId="400826E3" w14:textId="77777777" w:rsidR="00264000" w:rsidRPr="00264000" w:rsidRDefault="00264000">
      <w:pPr>
        <w:rPr>
          <w:rFonts w:ascii="微软雅黑" w:eastAsia="微软雅黑" w:hAnsi="微软雅黑"/>
        </w:rPr>
      </w:pPr>
    </w:p>
    <w:sectPr w:rsidR="00264000" w:rsidRPr="00264000">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A13CA" w14:textId="77777777" w:rsidR="006A1BAD" w:rsidRDefault="006A1BAD" w:rsidP="009E0FFA">
      <w:r>
        <w:separator/>
      </w:r>
    </w:p>
  </w:endnote>
  <w:endnote w:type="continuationSeparator" w:id="0">
    <w:p w14:paraId="383CECC8" w14:textId="77777777" w:rsidR="006A1BAD" w:rsidRDefault="006A1BAD" w:rsidP="009E0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B8ABA" w14:textId="77777777" w:rsidR="006A1BAD" w:rsidRDefault="006A1BAD" w:rsidP="009E0FFA">
      <w:r>
        <w:separator/>
      </w:r>
    </w:p>
  </w:footnote>
  <w:footnote w:type="continuationSeparator" w:id="0">
    <w:p w14:paraId="15362656" w14:textId="77777777" w:rsidR="006A1BAD" w:rsidRDefault="006A1BAD" w:rsidP="009E0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26363" w14:textId="77777777" w:rsidR="009E0FFA" w:rsidRDefault="009E0FFA" w:rsidP="009E0FFA">
    <w:pPr>
      <w:tabs>
        <w:tab w:val="left" w:pos="9363"/>
      </w:tabs>
      <w:jc w:val="left"/>
      <w:rPr>
        <w:rFonts w:ascii="微软雅黑" w:eastAsia="微软雅黑" w:hAnsi="微软雅黑" w:cs="微软雅黑"/>
        <w:szCs w:val="21"/>
      </w:rPr>
    </w:pPr>
    <w:r>
      <w:rPr>
        <w:rFonts w:ascii="微软雅黑" w:eastAsia="微软雅黑" w:hAnsi="微软雅黑" w:cs="微软雅黑" w:hint="eastAsia"/>
        <w:noProof/>
        <w:sz w:val="24"/>
      </w:rPr>
      <w:drawing>
        <wp:inline distT="0" distB="0" distL="114300" distR="114300" wp14:anchorId="7C18D714" wp14:editId="60000363">
          <wp:extent cx="1200785" cy="445770"/>
          <wp:effectExtent l="0" t="0" r="18415" b="11430"/>
          <wp:docPr id="2" name="图片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new"/>
                  <pic:cNvPicPr>
                    <a:picLocks noChangeAspect="1"/>
                  </pic:cNvPicPr>
                </pic:nvPicPr>
                <pic:blipFill>
                  <a:blip r:embed="rId1"/>
                  <a:stretch>
                    <a:fillRect/>
                  </a:stretch>
                </pic:blipFill>
                <pic:spPr>
                  <a:xfrm>
                    <a:off x="0" y="0"/>
                    <a:ext cx="1200785" cy="445770"/>
                  </a:xfrm>
                  <a:prstGeom prst="rect">
                    <a:avLst/>
                  </a:prstGeom>
                </pic:spPr>
              </pic:pic>
            </a:graphicData>
          </a:graphic>
        </wp:inline>
      </w:drawing>
    </w:r>
    <w:r>
      <w:rPr>
        <w:rFonts w:ascii="微软雅黑" w:eastAsia="微软雅黑" w:hAnsi="微软雅黑" w:cs="微软雅黑" w:hint="eastAsia"/>
        <w:sz w:val="24"/>
        <w:szCs w:val="24"/>
      </w:rPr>
      <w:t xml:space="preserve">                          </w:t>
    </w:r>
    <w:r>
      <w:rPr>
        <w:rFonts w:ascii="微软雅黑" w:eastAsia="微软雅黑" w:hAnsi="微软雅黑" w:cs="微软雅黑" w:hint="eastAsia"/>
        <w:szCs w:val="21"/>
      </w:rPr>
      <w:t>中国第一所互联网财务自由商学院</w:t>
    </w:r>
  </w:p>
  <w:p w14:paraId="4DA284ED" w14:textId="4263E024" w:rsidR="009E0FFA" w:rsidRPr="009E0FFA" w:rsidRDefault="009E0FFA" w:rsidP="009E0FFA">
    <w:pPr>
      <w:tabs>
        <w:tab w:val="left" w:pos="9363"/>
      </w:tabs>
      <w:jc w:val="left"/>
      <w:rPr>
        <w:rFonts w:ascii="微软雅黑" w:eastAsia="微软雅黑" w:hAnsi="微软雅黑" w:cs="微软雅黑" w:hint="eastAsia"/>
        <w:sz w:val="24"/>
      </w:rPr>
    </w:pPr>
    <w:r>
      <w:rPr>
        <w:rFonts w:ascii="微软雅黑" w:eastAsia="微软雅黑" w:hAnsi="微软雅黑" w:cs="微软雅黑" w:hint="eastAsia"/>
        <w:sz w:val="24"/>
        <w:szCs w:val="24"/>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B8"/>
    <w:rsid w:val="00040BB8"/>
    <w:rsid w:val="00096FA2"/>
    <w:rsid w:val="0020516B"/>
    <w:rsid w:val="00264000"/>
    <w:rsid w:val="003013D2"/>
    <w:rsid w:val="00456960"/>
    <w:rsid w:val="004863F7"/>
    <w:rsid w:val="004E0EEE"/>
    <w:rsid w:val="005C373C"/>
    <w:rsid w:val="006A1BAD"/>
    <w:rsid w:val="00891E6F"/>
    <w:rsid w:val="00893A58"/>
    <w:rsid w:val="008F1C03"/>
    <w:rsid w:val="009E0FFA"/>
    <w:rsid w:val="00A071F0"/>
    <w:rsid w:val="00AA2ABB"/>
    <w:rsid w:val="00C10061"/>
    <w:rsid w:val="00C12534"/>
    <w:rsid w:val="00F5745B"/>
    <w:rsid w:val="00FD3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CABC6"/>
  <w15:chartTrackingRefBased/>
  <w15:docId w15:val="{F91FD68C-63D5-4B2F-B699-B2050E4D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5745B"/>
    <w:rPr>
      <w:color w:val="0000FF"/>
      <w:u w:val="single"/>
    </w:rPr>
  </w:style>
  <w:style w:type="paragraph" w:styleId="a4">
    <w:name w:val="header"/>
    <w:basedOn w:val="a"/>
    <w:link w:val="a5"/>
    <w:uiPriority w:val="99"/>
    <w:unhideWhenUsed/>
    <w:rsid w:val="009E0FF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E0FFA"/>
    <w:rPr>
      <w:sz w:val="18"/>
      <w:szCs w:val="18"/>
    </w:rPr>
  </w:style>
  <w:style w:type="paragraph" w:styleId="a6">
    <w:name w:val="footer"/>
    <w:basedOn w:val="a"/>
    <w:link w:val="a7"/>
    <w:uiPriority w:val="99"/>
    <w:unhideWhenUsed/>
    <w:rsid w:val="009E0FFA"/>
    <w:pPr>
      <w:tabs>
        <w:tab w:val="center" w:pos="4153"/>
        <w:tab w:val="right" w:pos="8306"/>
      </w:tabs>
      <w:snapToGrid w:val="0"/>
      <w:jc w:val="left"/>
    </w:pPr>
    <w:rPr>
      <w:sz w:val="18"/>
      <w:szCs w:val="18"/>
    </w:rPr>
  </w:style>
  <w:style w:type="character" w:customStyle="1" w:styleId="a7">
    <w:name w:val="页脚 字符"/>
    <w:basedOn w:val="a0"/>
    <w:link w:val="a6"/>
    <w:uiPriority w:val="99"/>
    <w:rsid w:val="009E0F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32000">
      <w:bodyDiv w:val="1"/>
      <w:marLeft w:val="0"/>
      <w:marRight w:val="0"/>
      <w:marTop w:val="0"/>
      <w:marBottom w:val="0"/>
      <w:divBdr>
        <w:top w:val="none" w:sz="0" w:space="0" w:color="auto"/>
        <w:left w:val="none" w:sz="0" w:space="0" w:color="auto"/>
        <w:bottom w:val="none" w:sz="0" w:space="0" w:color="auto"/>
        <w:right w:val="none" w:sz="0" w:space="0" w:color="auto"/>
      </w:divBdr>
    </w:div>
    <w:div w:id="762799717">
      <w:bodyDiv w:val="1"/>
      <w:marLeft w:val="0"/>
      <w:marRight w:val="0"/>
      <w:marTop w:val="0"/>
      <w:marBottom w:val="0"/>
      <w:divBdr>
        <w:top w:val="none" w:sz="0" w:space="0" w:color="auto"/>
        <w:left w:val="none" w:sz="0" w:space="0" w:color="auto"/>
        <w:bottom w:val="none" w:sz="0" w:space="0" w:color="auto"/>
        <w:right w:val="none" w:sz="0" w:space="0" w:color="auto"/>
      </w:divBdr>
    </w:div>
    <w:div w:id="1430076879">
      <w:bodyDiv w:val="1"/>
      <w:marLeft w:val="0"/>
      <w:marRight w:val="0"/>
      <w:marTop w:val="0"/>
      <w:marBottom w:val="0"/>
      <w:divBdr>
        <w:top w:val="none" w:sz="0" w:space="0" w:color="auto"/>
        <w:left w:val="none" w:sz="0" w:space="0" w:color="auto"/>
        <w:bottom w:val="none" w:sz="0" w:space="0" w:color="auto"/>
        <w:right w:val="none" w:sz="0" w:space="0" w:color="auto"/>
      </w:divBdr>
      <w:divsChild>
        <w:div w:id="320158239">
          <w:marLeft w:val="0"/>
          <w:marRight w:val="0"/>
          <w:marTop w:val="0"/>
          <w:marBottom w:val="225"/>
          <w:divBdr>
            <w:top w:val="none" w:sz="0" w:space="0" w:color="auto"/>
            <w:left w:val="none" w:sz="0" w:space="0" w:color="auto"/>
            <w:bottom w:val="none" w:sz="0" w:space="0" w:color="auto"/>
            <w:right w:val="none" w:sz="0" w:space="0" w:color="auto"/>
          </w:divBdr>
          <w:divsChild>
            <w:div w:id="21050298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05344725">
      <w:bodyDiv w:val="1"/>
      <w:marLeft w:val="0"/>
      <w:marRight w:val="0"/>
      <w:marTop w:val="0"/>
      <w:marBottom w:val="0"/>
      <w:divBdr>
        <w:top w:val="none" w:sz="0" w:space="0" w:color="auto"/>
        <w:left w:val="none" w:sz="0" w:space="0" w:color="auto"/>
        <w:bottom w:val="none" w:sz="0" w:space="0" w:color="auto"/>
        <w:right w:val="none" w:sz="0" w:space="0" w:color="auto"/>
      </w:divBdr>
      <w:divsChild>
        <w:div w:id="1227573347">
          <w:marLeft w:val="0"/>
          <w:marRight w:val="0"/>
          <w:marTop w:val="0"/>
          <w:marBottom w:val="225"/>
          <w:divBdr>
            <w:top w:val="none" w:sz="0" w:space="0" w:color="auto"/>
            <w:left w:val="none" w:sz="0" w:space="0" w:color="auto"/>
            <w:bottom w:val="none" w:sz="0" w:space="0" w:color="auto"/>
            <w:right w:val="none" w:sz="0" w:space="0" w:color="auto"/>
          </w:divBdr>
          <w:divsChild>
            <w:div w:id="10391654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baike.baidu.com/item/%E5%8C%85%E8%A3%85%E7%89%A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8A%80%E6%9C%AF%E8%BD%AC%E8%AE%A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晓昌</dc:creator>
  <cp:keywords/>
  <dc:description/>
  <cp:lastModifiedBy>王 晓昌</cp:lastModifiedBy>
  <cp:revision>15</cp:revision>
  <dcterms:created xsi:type="dcterms:W3CDTF">2020-03-26T02:28:00Z</dcterms:created>
  <dcterms:modified xsi:type="dcterms:W3CDTF">2020-03-30T00:09:00Z</dcterms:modified>
</cp:coreProperties>
</file>