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第1</w:t>
      </w:r>
      <w:r>
        <w:rPr>
          <w:rFonts w:ascii="微软雅黑" w:hAnsi="微软雅黑" w:eastAsia="微软雅黑"/>
        </w:rPr>
        <w:t>8</w:t>
      </w:r>
      <w:r>
        <w:rPr>
          <w:rFonts w:hint="eastAsia" w:ascii="微软雅黑" w:hAnsi="微软雅黑" w:eastAsia="微软雅黑"/>
        </w:rPr>
        <w:t>周玩转案例分析</w:t>
      </w:r>
    </w:p>
    <w:p>
      <w:pPr>
        <w:jc w:val="center"/>
        <w:rPr>
          <w:rFonts w:ascii="微软雅黑" w:hAnsi="微软雅黑" w:eastAsia="微软雅黑"/>
          <w:sz w:val="21"/>
          <w:szCs w:val="21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本周作业重点分析：</w:t>
      </w:r>
    </w:p>
    <w:p>
      <w:pPr>
        <w:rPr>
          <w:rFonts w:hint="eastAsia"/>
        </w:rPr>
      </w:pPr>
      <w:r>
        <w:drawing>
          <wp:inline distT="0" distB="0" distL="0" distR="0">
            <wp:extent cx="5274310" cy="2518410"/>
            <wp:effectExtent l="0" t="0" r="254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9"/>
        <w:numPr>
          <w:ilvl w:val="0"/>
          <w:numId w:val="1"/>
        </w:numPr>
        <w:ind w:firstLineChars="0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造血能力</w:t>
      </w:r>
      <w:r>
        <w:rPr>
          <w:rFonts w:ascii="微软雅黑" w:hAnsi="微软雅黑" w:eastAsia="微软雅黑"/>
        </w:rPr>
        <w:t>-现金流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1、分析思路：</w:t>
      </w:r>
    </w:p>
    <w:p>
      <w:pPr>
        <w:jc w:val="left"/>
        <w:rPr>
          <w:rFonts w:hint="eastAsia"/>
        </w:rPr>
      </w:pPr>
      <w:r>
        <w:drawing>
          <wp:inline distT="0" distB="0" distL="0" distR="0">
            <wp:extent cx="5073650" cy="2021205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517" cy="202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2、数据收集汇总：经营活动产生的现金流量净额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6096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8747" cy="61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b w:val="0"/>
          <w:sz w:val="24"/>
          <w:szCs w:val="24"/>
        </w:rPr>
        <w:t>我们可以看到双汇发展2014-2018年的“经营活动产生的现金流量净额”分别为：4</w:t>
      </w:r>
      <w:r>
        <w:rPr>
          <w:rFonts w:ascii="微软雅黑" w:hAnsi="微软雅黑" w:eastAsia="微软雅黑"/>
          <w:b w:val="0"/>
          <w:sz w:val="24"/>
          <w:szCs w:val="24"/>
        </w:rPr>
        <w:t>7.12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亿、57.</w:t>
      </w:r>
      <w:r>
        <w:rPr>
          <w:rFonts w:ascii="微软雅黑" w:hAnsi="微软雅黑" w:eastAsia="微软雅黑"/>
          <w:b w:val="0"/>
          <w:sz w:val="24"/>
          <w:szCs w:val="24"/>
        </w:rPr>
        <w:t>66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亿、5</w:t>
      </w:r>
      <w:r>
        <w:rPr>
          <w:rFonts w:ascii="微软雅黑" w:hAnsi="微软雅黑" w:eastAsia="微软雅黑"/>
          <w:b w:val="0"/>
          <w:sz w:val="24"/>
          <w:szCs w:val="24"/>
        </w:rPr>
        <w:t>5.</w:t>
      </w:r>
      <w:r>
        <w:rPr>
          <w:rFonts w:hint="eastAsia" w:ascii="微软雅黑" w:hAnsi="微软雅黑" w:eastAsia="微软雅黑"/>
          <w:b w:val="0"/>
          <w:sz w:val="24"/>
          <w:szCs w:val="24"/>
        </w:rPr>
        <w:t>46亿、5</w:t>
      </w:r>
      <w:r>
        <w:rPr>
          <w:rFonts w:ascii="微软雅黑" w:hAnsi="微软雅黑" w:eastAsia="微软雅黑"/>
          <w:b w:val="0"/>
          <w:sz w:val="24"/>
          <w:szCs w:val="24"/>
        </w:rPr>
        <w:t>6.5</w:t>
      </w:r>
      <w:r>
        <w:rPr>
          <w:rFonts w:hint="eastAsia" w:ascii="微软雅黑" w:hAnsi="微软雅黑" w:eastAsia="微软雅黑"/>
          <w:b w:val="0"/>
          <w:sz w:val="24"/>
          <w:szCs w:val="24"/>
        </w:rPr>
        <w:t>0亿、5</w:t>
      </w:r>
      <w:r>
        <w:rPr>
          <w:rFonts w:ascii="微软雅黑" w:hAnsi="微软雅黑" w:eastAsia="微软雅黑"/>
          <w:b w:val="0"/>
          <w:sz w:val="24"/>
          <w:szCs w:val="24"/>
        </w:rPr>
        <w:t>1.9</w:t>
      </w:r>
      <w:r>
        <w:rPr>
          <w:rFonts w:hint="eastAsia" w:ascii="微软雅黑" w:hAnsi="微软雅黑" w:eastAsia="微软雅黑"/>
          <w:b w:val="0"/>
          <w:sz w:val="24"/>
          <w:szCs w:val="24"/>
        </w:rPr>
        <w:t>5亿，金额都比较大。这说明双汇发展的造血能力是很强的。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3</w:t>
      </w:r>
      <w:r>
        <w:rPr>
          <w:rFonts w:hint="eastAsia" w:ascii="微软雅黑" w:hAnsi="微软雅黑" w:eastAsia="微软雅黑"/>
          <w:bCs/>
          <w:sz w:val="24"/>
          <w:szCs w:val="24"/>
        </w:rPr>
        <w:t>、分析异常情况的原因</w:t>
      </w:r>
    </w:p>
    <w:p>
      <w:pPr>
        <w:rPr>
          <w:rFonts w:hint="eastAsia"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双汇2014-2018年造血能力-现金流没有异常。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4</w:t>
      </w:r>
      <w:r>
        <w:rPr>
          <w:rFonts w:hint="eastAsia" w:ascii="微软雅黑" w:hAnsi="微软雅黑" w:eastAsia="微软雅黑"/>
          <w:bCs/>
          <w:sz w:val="24"/>
          <w:szCs w:val="24"/>
        </w:rPr>
        <w:t>、根据分析结果，得出结论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根据分析结果，</w:t>
      </w:r>
      <w:r>
        <w:rPr>
          <w:rFonts w:hint="eastAsia" w:ascii="微软雅黑" w:hAnsi="微软雅黑" w:eastAsia="微软雅黑"/>
          <w:b w:val="0"/>
          <w:sz w:val="24"/>
          <w:szCs w:val="24"/>
        </w:rPr>
        <w:t>双汇发展造血能力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这个指标是否有风险，如果有</w:t>
      </w:r>
      <w:r>
        <w:rPr>
          <w:rFonts w:hint="eastAsia" w:ascii="微软雅黑" w:hAnsi="微软雅黑" w:eastAsia="微软雅黑"/>
          <w:b w:val="0"/>
          <w:bCs/>
          <w:sz w:val="22"/>
          <w:szCs w:val="24"/>
        </w:rPr>
        <w:t>，具体有什么风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险？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成长能力</w:t>
      </w: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1、分析思路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0500" cy="3648075"/>
            <wp:effectExtent l="0" t="0" r="6350" b="9525"/>
            <wp:docPr id="3" name="图片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2、数据收集汇总：购建固定资产、无形资产和其他长期资产支付的现金；经营活动产生的现金流量净额；处置固定资产、无形资产和其他长期资产收回的现金净额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A、</w:t>
      </w:r>
      <w:r>
        <w:rPr>
          <w:rFonts w:hint="eastAsia" w:ascii="微软雅黑" w:hAnsi="微软雅黑" w:eastAsia="微软雅黑"/>
          <w:sz w:val="24"/>
          <w:szCs w:val="24"/>
        </w:rPr>
        <w:t>购建固定资产、无形资产和其他长期资产支付的现金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6737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172" cy="6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双汇2014-2018年的“购建固定资产、无形资产和其他长期资产支付的现金”为：</w:t>
      </w:r>
      <w:r>
        <w:rPr>
          <w:rFonts w:ascii="微软雅黑" w:hAnsi="微软雅黑" w:eastAsia="微软雅黑"/>
          <w:b w:val="0"/>
          <w:bCs/>
          <w:sz w:val="24"/>
          <w:szCs w:val="24"/>
        </w:rPr>
        <w:t>24.89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、2</w:t>
      </w:r>
      <w:r>
        <w:rPr>
          <w:rFonts w:ascii="微软雅黑" w:hAnsi="微软雅黑" w:eastAsia="微软雅黑"/>
          <w:b w:val="0"/>
          <w:bCs/>
          <w:sz w:val="24"/>
          <w:szCs w:val="24"/>
        </w:rPr>
        <w:t>2.56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、</w:t>
      </w:r>
      <w:r>
        <w:rPr>
          <w:rFonts w:ascii="微软雅黑" w:hAnsi="微软雅黑" w:eastAsia="微软雅黑"/>
          <w:b w:val="0"/>
          <w:bCs/>
          <w:sz w:val="24"/>
          <w:szCs w:val="24"/>
        </w:rPr>
        <w:t>8.96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、5</w:t>
      </w:r>
      <w:r>
        <w:rPr>
          <w:rFonts w:ascii="微软雅黑" w:hAnsi="微软雅黑" w:eastAsia="微软雅黑"/>
          <w:b w:val="0"/>
          <w:bCs/>
          <w:sz w:val="24"/>
          <w:szCs w:val="24"/>
        </w:rPr>
        <w:t>.27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、5</w:t>
      </w:r>
      <w:r>
        <w:rPr>
          <w:rFonts w:ascii="微软雅黑" w:hAnsi="微软雅黑" w:eastAsia="微软雅黑"/>
          <w:b w:val="0"/>
          <w:bCs/>
          <w:sz w:val="24"/>
          <w:szCs w:val="24"/>
        </w:rPr>
        <w:t>.15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亿，金额较大，表明公司正在扩张中，未来公司的营业收入和净利润有可能出现较大的提升，公司成长能力强。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B、经营活动产生的现金流量净额</w:t>
      </w:r>
    </w:p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67945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362" cy="6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双汇发展2014-2018年的“经营活动产生的现金流量净额”分别为：4</w:t>
      </w:r>
      <w:r>
        <w:rPr>
          <w:rFonts w:ascii="微软雅黑" w:hAnsi="微软雅黑" w:eastAsia="微软雅黑"/>
          <w:b w:val="0"/>
          <w:sz w:val="24"/>
          <w:szCs w:val="24"/>
        </w:rPr>
        <w:t>7.1</w:t>
      </w:r>
      <w:r>
        <w:rPr>
          <w:rFonts w:hint="eastAsia" w:ascii="微软雅黑" w:hAnsi="微软雅黑" w:eastAsia="微软雅黑"/>
          <w:b w:val="0"/>
          <w:sz w:val="24"/>
          <w:szCs w:val="24"/>
        </w:rPr>
        <w:t>2亿、57.66亿、5</w:t>
      </w:r>
      <w:r>
        <w:rPr>
          <w:rFonts w:ascii="微软雅黑" w:hAnsi="微软雅黑" w:eastAsia="微软雅黑"/>
          <w:b w:val="0"/>
          <w:sz w:val="24"/>
          <w:szCs w:val="24"/>
        </w:rPr>
        <w:t>5.</w:t>
      </w:r>
      <w:r>
        <w:rPr>
          <w:rFonts w:hint="eastAsia" w:ascii="微软雅黑" w:hAnsi="微软雅黑" w:eastAsia="微软雅黑"/>
          <w:b w:val="0"/>
          <w:sz w:val="24"/>
          <w:szCs w:val="24"/>
        </w:rPr>
        <w:t>46亿、5</w:t>
      </w:r>
      <w:r>
        <w:rPr>
          <w:rFonts w:ascii="微软雅黑" w:hAnsi="微软雅黑" w:eastAsia="微软雅黑"/>
          <w:b w:val="0"/>
          <w:sz w:val="24"/>
          <w:szCs w:val="24"/>
        </w:rPr>
        <w:t>6.5</w:t>
      </w:r>
      <w:r>
        <w:rPr>
          <w:rFonts w:hint="eastAsia" w:ascii="微软雅黑" w:hAnsi="微软雅黑" w:eastAsia="微软雅黑"/>
          <w:b w:val="0"/>
          <w:sz w:val="24"/>
          <w:szCs w:val="24"/>
        </w:rPr>
        <w:t>0亿、5</w:t>
      </w:r>
      <w:r>
        <w:rPr>
          <w:rFonts w:ascii="微软雅黑" w:hAnsi="微软雅黑" w:eastAsia="微软雅黑"/>
          <w:b w:val="0"/>
          <w:sz w:val="24"/>
          <w:szCs w:val="24"/>
        </w:rPr>
        <w:t>1.9</w:t>
      </w:r>
      <w:r>
        <w:rPr>
          <w:rFonts w:hint="eastAsia" w:ascii="微软雅黑" w:hAnsi="微软雅黑" w:eastAsia="微软雅黑"/>
          <w:b w:val="0"/>
          <w:sz w:val="24"/>
          <w:szCs w:val="24"/>
        </w:rPr>
        <w:t>5亿。</w:t>
      </w:r>
    </w:p>
    <w:p>
      <w:pPr>
        <w:rPr>
          <w:rFonts w:ascii="微软雅黑" w:hAnsi="微软雅黑" w:eastAsia="微软雅黑"/>
          <w:sz w:val="24"/>
          <w:szCs w:val="24"/>
        </w:rPr>
      </w:pPr>
      <w:bookmarkStart w:id="0" w:name="_Hlk29460357"/>
      <w:r>
        <w:rPr>
          <w:rFonts w:hint="eastAsia" w:ascii="微软雅黑" w:hAnsi="微软雅黑" w:eastAsia="微软雅黑"/>
          <w:sz w:val="24"/>
          <w:szCs w:val="24"/>
        </w:rPr>
        <w:t>C、处置固定资产、无形资产和其他长期资产收回的现金净额</w:t>
      </w:r>
    </w:p>
    <w:bookmarkEnd w:id="0"/>
    <w:p>
      <w:pPr>
        <w:rPr>
          <w:rFonts w:ascii="微软雅黑" w:hAnsi="微软雅黑" w:eastAsia="微软雅黑"/>
          <w:sz w:val="24"/>
          <w:szCs w:val="24"/>
        </w:rPr>
      </w:pPr>
      <w:r>
        <w:drawing>
          <wp:inline distT="0" distB="0" distL="0" distR="0">
            <wp:extent cx="5274310" cy="63881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120" cy="64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bookmarkStart w:id="1" w:name="_Hlk29460524"/>
      <w:r>
        <w:rPr>
          <w:rFonts w:hint="eastAsia" w:ascii="微软雅黑" w:hAnsi="微软雅黑" w:eastAsia="微软雅黑"/>
          <w:b w:val="0"/>
          <w:sz w:val="24"/>
          <w:szCs w:val="24"/>
        </w:rPr>
        <w:t>我们可以看到双汇2014-2018年“处置固定资产、无形资产和其他长期资产收回的现金净额”的金额分别是：0</w:t>
      </w:r>
      <w:r>
        <w:rPr>
          <w:rFonts w:ascii="微软雅黑" w:hAnsi="微软雅黑" w:eastAsia="微软雅黑"/>
          <w:b w:val="0"/>
          <w:sz w:val="24"/>
          <w:szCs w:val="24"/>
        </w:rPr>
        <w:t>.06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亿、0</w:t>
      </w:r>
      <w:r>
        <w:rPr>
          <w:rFonts w:ascii="微软雅黑" w:hAnsi="微软雅黑" w:eastAsia="微软雅黑"/>
          <w:b w:val="0"/>
          <w:sz w:val="24"/>
          <w:szCs w:val="24"/>
        </w:rPr>
        <w:t>.23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亿、0</w:t>
      </w:r>
      <w:r>
        <w:rPr>
          <w:rFonts w:ascii="微软雅黑" w:hAnsi="微软雅黑" w:eastAsia="微软雅黑"/>
          <w:b w:val="0"/>
          <w:sz w:val="24"/>
          <w:szCs w:val="24"/>
        </w:rPr>
        <w:t>.15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亿、0</w:t>
      </w:r>
      <w:r>
        <w:rPr>
          <w:rFonts w:ascii="微软雅黑" w:hAnsi="微软雅黑" w:eastAsia="微软雅黑"/>
          <w:b w:val="0"/>
          <w:sz w:val="24"/>
          <w:szCs w:val="24"/>
        </w:rPr>
        <w:t>.79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亿、0</w:t>
      </w:r>
      <w:r>
        <w:rPr>
          <w:rFonts w:ascii="微软雅黑" w:hAnsi="微软雅黑" w:eastAsia="微软雅黑"/>
          <w:b w:val="0"/>
          <w:sz w:val="24"/>
          <w:szCs w:val="24"/>
        </w:rPr>
        <w:t>.66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亿金额较小。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bookmarkEnd w:id="1"/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3、计算“购买固定资产、无形资产和其他长期资产支付的现金”与“经营活动产生的现金流量净额”的比率，“处置固定资产、无形资产和其他长期资产收回的现金净额”与“购买固定资产、无形资产和其他长期</w:t>
      </w:r>
      <w:r>
        <w:rPr>
          <w:rFonts w:ascii="微软雅黑" w:hAnsi="微软雅黑" w:eastAsia="微软雅黑"/>
          <w:bCs/>
          <w:sz w:val="24"/>
          <w:szCs w:val="24"/>
        </w:rPr>
        <w:t>资产支付的现金”的比率</w:t>
      </w:r>
      <w:r>
        <w:rPr>
          <w:rFonts w:hint="eastAsia" w:ascii="微软雅黑" w:hAnsi="微软雅黑" w:eastAsia="微软雅黑"/>
          <w:bCs/>
          <w:sz w:val="24"/>
          <w:szCs w:val="24"/>
        </w:rPr>
        <w:t>，分析公司成长性。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14122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2631" cy="141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jc w:val="left"/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我们可以计算出双汇2014-2018年“购买固定资产、无形资产和其他长期资产支付的现金” 与“经营活动产生的现金流量净额”的比率分别是5</w:t>
      </w:r>
      <w:r>
        <w:rPr>
          <w:rFonts w:ascii="微软雅黑" w:hAnsi="微软雅黑" w:eastAsia="微软雅黑"/>
          <w:b w:val="0"/>
          <w:sz w:val="24"/>
          <w:szCs w:val="24"/>
        </w:rPr>
        <w:t>2.82</w:t>
      </w:r>
      <w:r>
        <w:rPr>
          <w:rFonts w:hint="eastAsia" w:ascii="微软雅黑" w:hAnsi="微软雅黑" w:eastAsia="微软雅黑"/>
          <w:b w:val="0"/>
          <w:sz w:val="24"/>
          <w:szCs w:val="24"/>
        </w:rPr>
        <w:t>%、3</w:t>
      </w:r>
      <w:r>
        <w:rPr>
          <w:rFonts w:ascii="微软雅黑" w:hAnsi="微软雅黑" w:eastAsia="微软雅黑"/>
          <w:b w:val="0"/>
          <w:sz w:val="24"/>
          <w:szCs w:val="24"/>
        </w:rPr>
        <w:t>9.12</w:t>
      </w:r>
      <w:r>
        <w:rPr>
          <w:rFonts w:hint="eastAsia" w:ascii="微软雅黑" w:hAnsi="微软雅黑" w:eastAsia="微软雅黑"/>
          <w:b w:val="0"/>
          <w:sz w:val="24"/>
          <w:szCs w:val="24"/>
        </w:rPr>
        <w:t>%、1</w:t>
      </w:r>
      <w:r>
        <w:rPr>
          <w:rFonts w:ascii="微软雅黑" w:hAnsi="微软雅黑" w:eastAsia="微软雅黑"/>
          <w:b w:val="0"/>
          <w:sz w:val="24"/>
          <w:szCs w:val="24"/>
        </w:rPr>
        <w:t>6.15</w:t>
      </w:r>
      <w:r>
        <w:rPr>
          <w:rFonts w:hint="eastAsia" w:ascii="微软雅黑" w:hAnsi="微软雅黑" w:eastAsia="微软雅黑"/>
          <w:b w:val="0"/>
          <w:sz w:val="24"/>
          <w:szCs w:val="24"/>
        </w:rPr>
        <w:t>%、9</w:t>
      </w:r>
      <w:r>
        <w:rPr>
          <w:rFonts w:ascii="微软雅黑" w:hAnsi="微软雅黑" w:eastAsia="微软雅黑"/>
          <w:b w:val="0"/>
          <w:sz w:val="24"/>
          <w:szCs w:val="24"/>
        </w:rPr>
        <w:t>.32</w:t>
      </w:r>
      <w:r>
        <w:rPr>
          <w:rFonts w:hint="eastAsia" w:ascii="微软雅黑" w:hAnsi="微软雅黑" w:eastAsia="微软雅黑"/>
          <w:b w:val="0"/>
          <w:sz w:val="24"/>
          <w:szCs w:val="24"/>
        </w:rPr>
        <w:t>%及9</w:t>
      </w:r>
      <w:r>
        <w:rPr>
          <w:rFonts w:ascii="微软雅黑" w:hAnsi="微软雅黑" w:eastAsia="微软雅黑"/>
          <w:b w:val="0"/>
          <w:sz w:val="24"/>
          <w:szCs w:val="24"/>
        </w:rPr>
        <w:t>.92</w:t>
      </w:r>
      <w:r>
        <w:rPr>
          <w:rFonts w:hint="eastAsia" w:ascii="微软雅黑" w:hAnsi="微软雅黑" w:eastAsia="微软雅黑"/>
          <w:b w:val="0"/>
          <w:sz w:val="24"/>
          <w:szCs w:val="24"/>
        </w:rPr>
        <w:t>%，这说明双汇发展一直处于稳步扩张之中，在最近两年开始放缓。但是比率一直维持在1</w:t>
      </w:r>
      <w:r>
        <w:rPr>
          <w:rFonts w:ascii="微软雅黑" w:hAnsi="微软雅黑" w:eastAsia="微软雅黑"/>
          <w:b w:val="0"/>
          <w:sz w:val="24"/>
          <w:szCs w:val="24"/>
        </w:rPr>
        <w:t>0</w:t>
      </w:r>
      <w:r>
        <w:rPr>
          <w:rFonts w:hint="eastAsia" w:ascii="微软雅黑" w:hAnsi="微软雅黑" w:eastAsia="微软雅黑"/>
          <w:b w:val="0"/>
          <w:sz w:val="24"/>
          <w:szCs w:val="24"/>
        </w:rPr>
        <w:t>%-</w:t>
      </w:r>
      <w:r>
        <w:rPr>
          <w:rFonts w:ascii="微软雅黑" w:hAnsi="微软雅黑" w:eastAsia="微软雅黑"/>
          <w:b w:val="0"/>
          <w:sz w:val="24"/>
          <w:szCs w:val="24"/>
        </w:rPr>
        <w:t>60</w:t>
      </w:r>
      <w:r>
        <w:rPr>
          <w:rFonts w:hint="eastAsia" w:ascii="微软雅黑" w:hAnsi="微软雅黑" w:eastAsia="微软雅黑"/>
          <w:b w:val="0"/>
          <w:sz w:val="24"/>
          <w:szCs w:val="24"/>
        </w:rPr>
        <w:t>%之间表明双汇公司的成长性比较好。</w:t>
      </w:r>
    </w:p>
    <w:p>
      <w:pPr>
        <w:rPr>
          <w:rFonts w:ascii="微软雅黑" w:hAnsi="微软雅黑" w:eastAsia="微软雅黑"/>
          <w:bCs/>
        </w:rPr>
      </w:pPr>
      <w:r>
        <w:drawing>
          <wp:inline distT="0" distB="0" distL="0" distR="0">
            <wp:extent cx="5274310" cy="138874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749" cy="139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我们计算出双汇2014-2018年“处置固定资产、无形资产和其他长期资产收回的现金净额”与“购建固定资产、无形资产和其他长期资产支付的现金”的比率分别为：0</w:t>
      </w:r>
      <w:r>
        <w:rPr>
          <w:rFonts w:ascii="微软雅黑" w:hAnsi="微软雅黑" w:eastAsia="微软雅黑"/>
          <w:b w:val="0"/>
          <w:sz w:val="24"/>
          <w:szCs w:val="24"/>
        </w:rPr>
        <w:t>.25</w:t>
      </w:r>
      <w:r>
        <w:rPr>
          <w:rFonts w:hint="eastAsia" w:ascii="微软雅黑" w:hAnsi="微软雅黑" w:eastAsia="微软雅黑"/>
          <w:b w:val="0"/>
          <w:sz w:val="24"/>
          <w:szCs w:val="24"/>
        </w:rPr>
        <w:t>%、1</w:t>
      </w:r>
      <w:r>
        <w:rPr>
          <w:rFonts w:ascii="微软雅黑" w:hAnsi="微软雅黑" w:eastAsia="微软雅黑"/>
          <w:b w:val="0"/>
          <w:sz w:val="24"/>
          <w:szCs w:val="24"/>
        </w:rPr>
        <w:t>.01</w:t>
      </w:r>
      <w:r>
        <w:rPr>
          <w:rFonts w:hint="eastAsia" w:ascii="微软雅黑" w:hAnsi="微软雅黑" w:eastAsia="微软雅黑"/>
          <w:b w:val="0"/>
          <w:sz w:val="24"/>
          <w:szCs w:val="24"/>
        </w:rPr>
        <w:t>%、1</w:t>
      </w:r>
      <w:r>
        <w:rPr>
          <w:rFonts w:ascii="微软雅黑" w:hAnsi="微软雅黑" w:eastAsia="微软雅黑"/>
          <w:b w:val="0"/>
          <w:sz w:val="24"/>
          <w:szCs w:val="24"/>
        </w:rPr>
        <w:t>.63</w:t>
      </w:r>
      <w:r>
        <w:rPr>
          <w:rFonts w:hint="eastAsia" w:ascii="微软雅黑" w:hAnsi="微软雅黑" w:eastAsia="微软雅黑"/>
          <w:b w:val="0"/>
          <w:sz w:val="24"/>
          <w:szCs w:val="24"/>
        </w:rPr>
        <w:t>%、1</w:t>
      </w:r>
      <w:r>
        <w:rPr>
          <w:rFonts w:ascii="微软雅黑" w:hAnsi="微软雅黑" w:eastAsia="微软雅黑"/>
          <w:b w:val="0"/>
          <w:sz w:val="24"/>
          <w:szCs w:val="24"/>
        </w:rPr>
        <w:t>5.03</w:t>
      </w:r>
      <w:r>
        <w:rPr>
          <w:rFonts w:hint="eastAsia" w:ascii="微软雅黑" w:hAnsi="微软雅黑" w:eastAsia="微软雅黑"/>
          <w:b w:val="0"/>
          <w:sz w:val="24"/>
          <w:szCs w:val="24"/>
        </w:rPr>
        <w:t>%、1</w:t>
      </w:r>
      <w:r>
        <w:rPr>
          <w:rFonts w:ascii="微软雅黑" w:hAnsi="微软雅黑" w:eastAsia="微软雅黑"/>
          <w:b w:val="0"/>
          <w:sz w:val="24"/>
          <w:szCs w:val="24"/>
        </w:rPr>
        <w:t>2.80</w:t>
      </w:r>
      <w:r>
        <w:rPr>
          <w:rFonts w:hint="eastAsia" w:ascii="微软雅黑" w:hAnsi="微软雅黑" w:eastAsia="微软雅黑"/>
          <w:b w:val="0"/>
          <w:sz w:val="24"/>
          <w:szCs w:val="24"/>
        </w:rPr>
        <w:t>%。2</w:t>
      </w:r>
      <w:r>
        <w:rPr>
          <w:rFonts w:ascii="微软雅黑" w:hAnsi="微软雅黑" w:eastAsia="微软雅黑"/>
          <w:b w:val="0"/>
          <w:sz w:val="24"/>
          <w:szCs w:val="24"/>
        </w:rPr>
        <w:t>0</w:t>
      </w:r>
      <w:r>
        <w:rPr>
          <w:rFonts w:hint="eastAsia" w:ascii="微软雅黑" w:hAnsi="微软雅黑" w:eastAsia="微软雅黑"/>
          <w:b w:val="0"/>
          <w:sz w:val="24"/>
          <w:szCs w:val="24"/>
        </w:rPr>
        <w:t>1</w:t>
      </w:r>
      <w:r>
        <w:rPr>
          <w:rFonts w:ascii="微软雅黑" w:hAnsi="微软雅黑" w:eastAsia="微软雅黑"/>
          <w:b w:val="0"/>
          <w:sz w:val="24"/>
          <w:szCs w:val="24"/>
        </w:rPr>
        <w:t>4</w:t>
      </w:r>
      <w:r>
        <w:rPr>
          <w:rFonts w:hint="eastAsia" w:ascii="微软雅黑" w:hAnsi="微软雅黑" w:eastAsia="微软雅黑"/>
          <w:b w:val="0"/>
          <w:sz w:val="24"/>
          <w:szCs w:val="24"/>
        </w:rPr>
        <w:t>-</w:t>
      </w:r>
      <w:r>
        <w:rPr>
          <w:rFonts w:ascii="微软雅黑" w:hAnsi="微软雅黑" w:eastAsia="微软雅黑"/>
          <w:b w:val="0"/>
          <w:sz w:val="24"/>
          <w:szCs w:val="24"/>
        </w:rPr>
        <w:t>2016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年比率低于5%表明双汇处于快速成长中，</w:t>
      </w:r>
      <w:r>
        <w:rPr>
          <w:rFonts w:ascii="微软雅黑" w:hAnsi="微软雅黑" w:eastAsia="微软雅黑"/>
          <w:b w:val="0"/>
          <w:sz w:val="24"/>
          <w:szCs w:val="24"/>
        </w:rPr>
        <w:t>2017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年和2</w:t>
      </w:r>
      <w:r>
        <w:rPr>
          <w:rFonts w:ascii="微软雅黑" w:hAnsi="微软雅黑" w:eastAsia="微软雅黑"/>
          <w:b w:val="0"/>
          <w:sz w:val="24"/>
          <w:szCs w:val="24"/>
        </w:rPr>
        <w:t>018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年比率高于5%但是远远低于1</w:t>
      </w:r>
      <w:r>
        <w:rPr>
          <w:rFonts w:ascii="微软雅黑" w:hAnsi="微软雅黑" w:eastAsia="微软雅黑"/>
          <w:b w:val="0"/>
          <w:sz w:val="24"/>
          <w:szCs w:val="24"/>
        </w:rPr>
        <w:t>00</w:t>
      </w:r>
      <w:r>
        <w:rPr>
          <w:rFonts w:hint="eastAsia" w:ascii="微软雅黑" w:hAnsi="微软雅黑" w:eastAsia="微软雅黑"/>
          <w:b w:val="0"/>
          <w:sz w:val="24"/>
          <w:szCs w:val="24"/>
        </w:rPr>
        <w:t>%，表明双汇近两年的成长速度稍微放缓，整体成长速度还是比较好的。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4</w:t>
      </w:r>
      <w:r>
        <w:rPr>
          <w:rFonts w:hint="eastAsia" w:ascii="微软雅黑" w:hAnsi="微软雅黑" w:eastAsia="微软雅黑"/>
          <w:bCs/>
          <w:sz w:val="24"/>
          <w:szCs w:val="24"/>
        </w:rPr>
        <w:t>、分析异常情况的原因</w:t>
      </w:r>
    </w:p>
    <w:p>
      <w:pPr>
        <w:rPr>
          <w:rFonts w:hint="eastAsia"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双汇2014-2018年</w:t>
      </w:r>
      <w:r>
        <w:rPr>
          <w:rFonts w:hint="eastAsia" w:ascii="微软雅黑" w:hAnsi="微软雅黑" w:eastAsia="微软雅黑"/>
          <w:b w:val="0"/>
          <w:sz w:val="24"/>
          <w:szCs w:val="24"/>
        </w:rPr>
        <w:t>成长能力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没有异常。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5</w:t>
      </w:r>
      <w:r>
        <w:rPr>
          <w:rFonts w:hint="eastAsia" w:ascii="微软雅黑" w:hAnsi="微软雅黑" w:eastAsia="微软雅黑"/>
          <w:bCs/>
          <w:sz w:val="24"/>
          <w:szCs w:val="24"/>
        </w:rPr>
        <w:t>、根据分析结果，得出结论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根据分析结果，</w:t>
      </w:r>
      <w:r>
        <w:rPr>
          <w:rFonts w:hint="eastAsia" w:ascii="微软雅黑" w:hAnsi="微软雅黑" w:eastAsia="微软雅黑"/>
          <w:b w:val="0"/>
          <w:sz w:val="24"/>
          <w:szCs w:val="24"/>
        </w:rPr>
        <w:t>双汇发展的成长能力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这个指标是否有风险，如果有</w:t>
      </w:r>
      <w:r>
        <w:rPr>
          <w:rFonts w:hint="eastAsia" w:ascii="微软雅黑" w:hAnsi="微软雅黑" w:eastAsia="微软雅黑"/>
          <w:b w:val="0"/>
          <w:bCs/>
          <w:sz w:val="22"/>
          <w:szCs w:val="24"/>
        </w:rPr>
        <w:t>，具体有什么风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险？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分红</w:t>
      </w: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1、分析思路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1702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2、数据收集汇总：分配股利、利润或偿付利息支付的现金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662305"/>
            <wp:effectExtent l="0" t="0" r="254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362" cy="66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我们可以看到双汇发展在201</w:t>
      </w:r>
      <w:r>
        <w:rPr>
          <w:rFonts w:ascii="微软雅黑" w:hAnsi="微软雅黑" w:eastAsia="微软雅黑"/>
          <w:b w:val="0"/>
          <w:sz w:val="24"/>
          <w:szCs w:val="24"/>
        </w:rPr>
        <w:t>4</w:t>
      </w:r>
      <w:r>
        <w:rPr>
          <w:rFonts w:hint="eastAsia" w:ascii="微软雅黑" w:hAnsi="微软雅黑" w:eastAsia="微软雅黑"/>
          <w:b w:val="0"/>
          <w:sz w:val="24"/>
          <w:szCs w:val="24"/>
        </w:rPr>
        <w:t>-2018年的“分配股利、利润或者偿付利息支付的现金”科目既有股利也有利息，不能准确反映分红情况。我们直接在年报中搜“分红”看一下。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18122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243268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我们可以看到双汇2</w:t>
      </w:r>
      <w:r>
        <w:rPr>
          <w:rFonts w:ascii="微软雅黑" w:hAnsi="微软雅黑" w:eastAsia="微软雅黑"/>
          <w:b w:val="0"/>
          <w:bCs/>
          <w:sz w:val="24"/>
          <w:szCs w:val="24"/>
        </w:rPr>
        <w:t>014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-2018年分红比率分别为7</w:t>
      </w:r>
      <w:r>
        <w:rPr>
          <w:rFonts w:ascii="微软雅黑" w:hAnsi="微软雅黑" w:eastAsia="微软雅黑"/>
          <w:b w:val="0"/>
          <w:bCs/>
          <w:sz w:val="24"/>
          <w:szCs w:val="24"/>
        </w:rPr>
        <w:t>7.35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%、9</w:t>
      </w:r>
      <w:r>
        <w:rPr>
          <w:rFonts w:ascii="微软雅黑" w:hAnsi="微软雅黑" w:eastAsia="微软雅黑"/>
          <w:b w:val="0"/>
          <w:bCs/>
          <w:sz w:val="24"/>
          <w:szCs w:val="24"/>
        </w:rPr>
        <w:t>6.92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%、157.3%、84.03%、97.35%。可见双汇发展还是非常慷慨的。但是由于双汇分红比率大幅高于70%，我们知道这种高分红的情况是不能持续的。未来双汇发展的分红比率应该会回归70%左右的正常水平。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3</w:t>
      </w:r>
      <w:r>
        <w:rPr>
          <w:rFonts w:hint="eastAsia" w:ascii="微软雅黑" w:hAnsi="微软雅黑" w:eastAsia="微软雅黑"/>
          <w:bCs/>
          <w:sz w:val="24"/>
          <w:szCs w:val="24"/>
        </w:rPr>
        <w:t>、分析异常情况的原因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双汇2014-2018年分红没有异常。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4</w:t>
      </w:r>
      <w:r>
        <w:rPr>
          <w:rFonts w:hint="eastAsia" w:ascii="微软雅黑" w:hAnsi="微软雅黑" w:eastAsia="微软雅黑"/>
          <w:bCs/>
          <w:sz w:val="24"/>
          <w:szCs w:val="24"/>
        </w:rPr>
        <w:t>、根据分析结果，得出结论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根据分析结果，</w:t>
      </w:r>
      <w:r>
        <w:rPr>
          <w:rFonts w:hint="eastAsia" w:ascii="微软雅黑" w:hAnsi="微软雅黑" w:eastAsia="微软雅黑"/>
          <w:b w:val="0"/>
          <w:sz w:val="24"/>
          <w:szCs w:val="24"/>
        </w:rPr>
        <w:t>双汇发展的分红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这个指标是否有风险，如果有</w:t>
      </w:r>
      <w:r>
        <w:rPr>
          <w:rFonts w:hint="eastAsia" w:ascii="微软雅黑" w:hAnsi="微软雅黑" w:eastAsia="微软雅黑"/>
          <w:b w:val="0"/>
          <w:bCs/>
          <w:sz w:val="22"/>
          <w:szCs w:val="24"/>
        </w:rPr>
        <w:t>，具体有什么风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险？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pStyle w:val="9"/>
        <w:numPr>
          <w:ilvl w:val="0"/>
          <w:numId w:val="1"/>
        </w:numPr>
        <w:ind w:firstLineChars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经营活动的类型</w:t>
      </w: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1、分析思路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3420110"/>
            <wp:effectExtent l="0" t="0" r="2540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2、数据收集汇总：经营活动产生的现金流量净额、投资活动产生的现金流量净额、筹资活动产生的现金流量净额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9493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1033" cy="9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我们看到双汇2014-2018年的类型主要为“正负负”型，</w:t>
      </w:r>
      <w:r>
        <w:rPr>
          <w:rFonts w:ascii="微软雅黑" w:hAnsi="微软雅黑" w:eastAsia="微软雅黑"/>
          <w:b w:val="0"/>
          <w:sz w:val="24"/>
          <w:szCs w:val="24"/>
        </w:rPr>
        <w:t>2016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年的类型为“正正负”型。所以双汇属于优秀公司的类型。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3</w:t>
      </w:r>
      <w:r>
        <w:rPr>
          <w:rFonts w:hint="eastAsia" w:ascii="微软雅黑" w:hAnsi="微软雅黑" w:eastAsia="微软雅黑"/>
          <w:bCs/>
          <w:sz w:val="24"/>
          <w:szCs w:val="24"/>
        </w:rPr>
        <w:t>、分析异常情况的原因</w:t>
      </w:r>
    </w:p>
    <w:p>
      <w:pPr>
        <w:rPr>
          <w:rFonts w:hint="eastAsia"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双汇2014-2018年经营活动类型没有异常。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4</w:t>
      </w:r>
      <w:r>
        <w:rPr>
          <w:rFonts w:hint="eastAsia" w:ascii="微软雅黑" w:hAnsi="微软雅黑" w:eastAsia="微软雅黑"/>
          <w:bCs/>
          <w:sz w:val="24"/>
          <w:szCs w:val="24"/>
        </w:rPr>
        <w:t>、根据分析结果，得出结论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根据分析结果，</w:t>
      </w:r>
      <w:r>
        <w:rPr>
          <w:rFonts w:hint="eastAsia" w:ascii="微软雅黑" w:hAnsi="微软雅黑" w:eastAsia="微软雅黑"/>
          <w:b w:val="0"/>
          <w:sz w:val="24"/>
          <w:szCs w:val="24"/>
        </w:rPr>
        <w:t>双汇发展的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经营活动</w:t>
      </w:r>
      <w:r>
        <w:rPr>
          <w:rFonts w:hint="eastAsia" w:ascii="微软雅黑" w:hAnsi="微软雅黑" w:eastAsia="微软雅黑"/>
          <w:b w:val="0"/>
          <w:sz w:val="24"/>
          <w:szCs w:val="24"/>
        </w:rPr>
        <w:t>的类型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这个指标是否有风险，如果有</w:t>
      </w:r>
      <w:r>
        <w:rPr>
          <w:rFonts w:hint="eastAsia" w:ascii="微软雅黑" w:hAnsi="微软雅黑" w:eastAsia="微软雅黑"/>
          <w:b w:val="0"/>
          <w:bCs/>
          <w:sz w:val="22"/>
          <w:szCs w:val="24"/>
        </w:rPr>
        <w:t>，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具体有什么风险？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五、现金净增加额</w:t>
      </w: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1、分析思路</w:t>
      </w:r>
    </w:p>
    <w:p>
      <w:pPr>
        <w:rPr>
          <w:rFonts w:hint="eastAsia" w:ascii="微软雅黑" w:hAnsi="微软雅黑" w:eastAsia="微软雅黑"/>
          <w:szCs w:val="21"/>
        </w:rPr>
      </w:pPr>
      <w:r>
        <w:drawing>
          <wp:inline distT="0" distB="0" distL="0" distR="0">
            <wp:extent cx="5274310" cy="1762760"/>
            <wp:effectExtent l="0" t="0" r="2540" b="889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Cs w:val="21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2、数据收集汇总：现金及现金等价物净增加额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69230" cy="691515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6483" cy="70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我们可以看到双汇发展2014-2018年的现金及现金等价物净增加额分别为 </w:t>
      </w:r>
      <w:r>
        <w:rPr>
          <w:rFonts w:ascii="微软雅黑" w:hAnsi="微软雅黑" w:eastAsia="微软雅黑"/>
          <w:b w:val="0"/>
          <w:sz w:val="24"/>
          <w:szCs w:val="24"/>
        </w:rPr>
        <w:t xml:space="preserve">   </w:t>
      </w:r>
      <w:r>
        <w:rPr>
          <w:rFonts w:hint="eastAsia" w:ascii="微软雅黑" w:hAnsi="微软雅黑" w:eastAsia="微软雅黑"/>
          <w:b w:val="0"/>
          <w:sz w:val="24"/>
          <w:szCs w:val="24"/>
        </w:rPr>
        <w:t>-</w:t>
      </w:r>
      <w:r>
        <w:rPr>
          <w:rFonts w:ascii="微软雅黑" w:hAnsi="微软雅黑" w:eastAsia="微软雅黑"/>
          <w:b w:val="0"/>
          <w:sz w:val="24"/>
          <w:szCs w:val="24"/>
        </w:rPr>
        <w:t>9.14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亿、-</w:t>
      </w:r>
      <w:r>
        <w:rPr>
          <w:rFonts w:ascii="微软雅黑" w:hAnsi="微软雅黑" w:eastAsia="微软雅黑"/>
          <w:b w:val="0"/>
          <w:sz w:val="24"/>
          <w:szCs w:val="24"/>
        </w:rPr>
        <w:t>4.82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亿、5</w:t>
      </w:r>
      <w:r>
        <w:rPr>
          <w:rFonts w:ascii="微软雅黑" w:hAnsi="微软雅黑" w:eastAsia="微软雅黑"/>
          <w:b w:val="0"/>
          <w:sz w:val="24"/>
          <w:szCs w:val="24"/>
        </w:rPr>
        <w:t>.81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亿、2</w:t>
      </w:r>
      <w:r>
        <w:rPr>
          <w:rFonts w:ascii="微软雅黑" w:hAnsi="微软雅黑" w:eastAsia="微软雅黑"/>
          <w:b w:val="0"/>
          <w:sz w:val="24"/>
          <w:szCs w:val="24"/>
        </w:rPr>
        <w:t>7.68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亿、-</w:t>
      </w:r>
      <w:r>
        <w:rPr>
          <w:rFonts w:ascii="微软雅黑" w:hAnsi="微软雅黑" w:eastAsia="微软雅黑"/>
          <w:b w:val="0"/>
          <w:sz w:val="24"/>
          <w:szCs w:val="24"/>
        </w:rPr>
        <w:t>34.12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亿。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由于</w:t>
      </w:r>
      <w:r>
        <w:rPr>
          <w:rFonts w:ascii="微软雅黑" w:hAnsi="微软雅黑" w:eastAsia="微软雅黑"/>
          <w:b w:val="0"/>
          <w:sz w:val="24"/>
          <w:szCs w:val="24"/>
        </w:rPr>
        <w:t>2014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年、2</w:t>
      </w:r>
      <w:r>
        <w:rPr>
          <w:rFonts w:ascii="微软雅黑" w:hAnsi="微软雅黑" w:eastAsia="微软雅黑"/>
          <w:b w:val="0"/>
          <w:sz w:val="24"/>
          <w:szCs w:val="24"/>
        </w:rPr>
        <w:t>015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年及2</w:t>
      </w:r>
      <w:r>
        <w:rPr>
          <w:rFonts w:ascii="微软雅黑" w:hAnsi="微软雅黑" w:eastAsia="微软雅黑"/>
          <w:b w:val="0"/>
          <w:sz w:val="24"/>
          <w:szCs w:val="24"/>
        </w:rPr>
        <w:t>018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年的现金及现金等价物净增加额小于0，需加回现金分红。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sz w:val="21"/>
          <w:szCs w:val="21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3、计算回分红后的现金及现金等价物净增加额，找出数据异常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通过查询，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2</w:t>
      </w:r>
      <w:r>
        <w:rPr>
          <w:rFonts w:ascii="微软雅黑" w:hAnsi="微软雅黑" w:eastAsia="微软雅黑"/>
          <w:b w:val="0"/>
          <w:sz w:val="24"/>
          <w:szCs w:val="24"/>
        </w:rPr>
        <w:t>014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年发放2</w:t>
      </w:r>
      <w:r>
        <w:rPr>
          <w:rFonts w:ascii="微软雅黑" w:hAnsi="微软雅黑" w:eastAsia="微软雅黑"/>
          <w:b w:val="0"/>
          <w:sz w:val="24"/>
          <w:szCs w:val="24"/>
        </w:rPr>
        <w:t>013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年现金分红3</w:t>
      </w:r>
      <w:r>
        <w:rPr>
          <w:rFonts w:ascii="微软雅黑" w:hAnsi="微软雅黑" w:eastAsia="微软雅黑"/>
          <w:b w:val="0"/>
          <w:sz w:val="24"/>
          <w:szCs w:val="24"/>
        </w:rPr>
        <w:t>1.91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亿；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2</w:t>
      </w:r>
      <w:r>
        <w:rPr>
          <w:rFonts w:ascii="微软雅黑" w:hAnsi="微软雅黑" w:eastAsia="微软雅黑"/>
          <w:b w:val="0"/>
          <w:sz w:val="24"/>
          <w:szCs w:val="24"/>
        </w:rPr>
        <w:t>015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年发放2</w:t>
      </w:r>
      <w:r>
        <w:rPr>
          <w:rFonts w:ascii="微软雅黑" w:hAnsi="微软雅黑" w:eastAsia="微软雅黑"/>
          <w:b w:val="0"/>
          <w:sz w:val="24"/>
          <w:szCs w:val="24"/>
        </w:rPr>
        <w:t>014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年现金分红3</w:t>
      </w:r>
      <w:r>
        <w:rPr>
          <w:rFonts w:ascii="微软雅黑" w:hAnsi="微软雅黑" w:eastAsia="微软雅黑"/>
          <w:b w:val="0"/>
          <w:sz w:val="24"/>
          <w:szCs w:val="24"/>
        </w:rPr>
        <w:t>1.25</w:t>
      </w:r>
      <w:r>
        <w:rPr>
          <w:rFonts w:hint="eastAsia" w:ascii="微软雅黑" w:hAnsi="微软雅黑" w:eastAsia="微软雅黑"/>
          <w:b w:val="0"/>
          <w:sz w:val="24"/>
          <w:szCs w:val="24"/>
        </w:rPr>
        <w:t xml:space="preserve">亿； 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2</w:t>
      </w:r>
      <w:r>
        <w:rPr>
          <w:rFonts w:ascii="微软雅黑" w:hAnsi="微软雅黑" w:eastAsia="微软雅黑"/>
          <w:b w:val="0"/>
          <w:sz w:val="24"/>
          <w:szCs w:val="24"/>
        </w:rPr>
        <w:t>016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年发放2</w:t>
      </w:r>
      <w:r>
        <w:rPr>
          <w:rFonts w:ascii="微软雅黑" w:hAnsi="微软雅黑" w:eastAsia="微软雅黑"/>
          <w:b w:val="0"/>
          <w:sz w:val="24"/>
          <w:szCs w:val="24"/>
        </w:rPr>
        <w:t>015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年现金分红4</w:t>
      </w:r>
      <w:r>
        <w:rPr>
          <w:rFonts w:ascii="微软雅黑" w:hAnsi="微软雅黑" w:eastAsia="微软雅黑"/>
          <w:b w:val="0"/>
          <w:sz w:val="24"/>
          <w:szCs w:val="24"/>
        </w:rPr>
        <w:t>1.24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亿、发放2</w:t>
      </w:r>
      <w:r>
        <w:rPr>
          <w:rFonts w:ascii="微软雅黑" w:hAnsi="微软雅黑" w:eastAsia="微软雅黑"/>
          <w:b w:val="0"/>
          <w:sz w:val="24"/>
          <w:szCs w:val="24"/>
        </w:rPr>
        <w:t>016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</w:t>
      </w:r>
      <w:r>
        <w:rPr>
          <w:rFonts w:hint="eastAsia" w:ascii="微软雅黑" w:hAnsi="微软雅黑" w:eastAsia="微软雅黑"/>
          <w:b w:val="0"/>
          <w:sz w:val="24"/>
          <w:szCs w:val="24"/>
          <w:lang w:val="en-US" w:eastAsia="zh-CN"/>
        </w:rPr>
        <w:t>二季度</w:t>
      </w:r>
      <w:r>
        <w:rPr>
          <w:rFonts w:hint="eastAsia" w:ascii="微软雅黑" w:hAnsi="微软雅黑" w:eastAsia="微软雅黑"/>
          <w:b w:val="0"/>
          <w:sz w:val="24"/>
          <w:szCs w:val="24"/>
        </w:rPr>
        <w:t>现金分红2</w:t>
      </w:r>
      <w:r>
        <w:rPr>
          <w:rFonts w:ascii="微软雅黑" w:hAnsi="微软雅黑" w:eastAsia="微软雅黑"/>
          <w:b w:val="0"/>
          <w:sz w:val="24"/>
          <w:szCs w:val="24"/>
        </w:rPr>
        <w:t>9.70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亿，2</w:t>
      </w:r>
      <w:r>
        <w:rPr>
          <w:rFonts w:ascii="微软雅黑" w:hAnsi="微软雅黑" w:eastAsia="微软雅黑"/>
          <w:b w:val="0"/>
          <w:sz w:val="24"/>
          <w:szCs w:val="24"/>
        </w:rPr>
        <w:t>016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年合计发放现金分红7</w:t>
      </w:r>
      <w:r>
        <w:rPr>
          <w:rFonts w:ascii="微软雅黑" w:hAnsi="微软雅黑" w:eastAsia="微软雅黑"/>
          <w:b w:val="0"/>
          <w:sz w:val="24"/>
          <w:szCs w:val="24"/>
        </w:rPr>
        <w:t>0.94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亿；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2</w:t>
      </w:r>
      <w:r>
        <w:rPr>
          <w:rFonts w:ascii="微软雅黑" w:hAnsi="微软雅黑" w:eastAsia="微软雅黑"/>
          <w:b w:val="0"/>
          <w:sz w:val="24"/>
          <w:szCs w:val="24"/>
        </w:rPr>
        <w:t>017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年发放2</w:t>
      </w:r>
      <w:r>
        <w:rPr>
          <w:rFonts w:ascii="微软雅黑" w:hAnsi="微软雅黑" w:eastAsia="微软雅黑"/>
          <w:b w:val="0"/>
          <w:sz w:val="24"/>
          <w:szCs w:val="24"/>
        </w:rPr>
        <w:t>016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年现金分红</w:t>
      </w:r>
      <w:r>
        <w:rPr>
          <w:rFonts w:ascii="微软雅黑" w:hAnsi="微软雅黑" w:eastAsia="微软雅黑"/>
          <w:b w:val="0"/>
          <w:sz w:val="24"/>
          <w:szCs w:val="24"/>
        </w:rPr>
        <w:t>39.59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亿；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2018年发放2017年分红3</w:t>
      </w:r>
      <w:r>
        <w:rPr>
          <w:rFonts w:ascii="微软雅黑" w:hAnsi="微软雅黑" w:eastAsia="微软雅黑"/>
          <w:b w:val="0"/>
          <w:sz w:val="24"/>
          <w:szCs w:val="24"/>
        </w:rPr>
        <w:t>6.30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亿、发放2018年</w:t>
      </w:r>
      <w:bookmarkStart w:id="2" w:name="_GoBack"/>
      <w:bookmarkEnd w:id="2"/>
      <w:r>
        <w:rPr>
          <w:rFonts w:hint="eastAsia" w:ascii="微软雅黑" w:hAnsi="微软雅黑" w:eastAsia="微软雅黑"/>
          <w:b w:val="0"/>
          <w:sz w:val="24"/>
          <w:szCs w:val="24"/>
        </w:rPr>
        <w:t>三季度分红</w:t>
      </w:r>
      <w:r>
        <w:rPr>
          <w:rFonts w:ascii="微软雅黑" w:hAnsi="微软雅黑" w:eastAsia="微软雅黑"/>
          <w:b w:val="0"/>
          <w:sz w:val="24"/>
          <w:szCs w:val="24"/>
        </w:rPr>
        <w:t>29.70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亿，2</w:t>
      </w:r>
      <w:r>
        <w:rPr>
          <w:rFonts w:ascii="微软雅黑" w:hAnsi="微软雅黑" w:eastAsia="微软雅黑"/>
          <w:b w:val="0"/>
          <w:sz w:val="24"/>
          <w:szCs w:val="24"/>
        </w:rPr>
        <w:t>018</w:t>
      </w:r>
      <w:r>
        <w:rPr>
          <w:rFonts w:hint="eastAsia" w:ascii="微软雅黑" w:hAnsi="微软雅黑" w:eastAsia="微软雅黑"/>
          <w:b w:val="0"/>
          <w:sz w:val="24"/>
          <w:szCs w:val="24"/>
        </w:rPr>
        <w:t>年合计发放现金分红66亿。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15297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372" cy="15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31222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10312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0616" cy="103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2014-2018年加回分红后的现金及现金等价物净增加额均是大于0，还是非常不错的，说明公司能积累更多的钱。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4</w:t>
      </w:r>
      <w:r>
        <w:rPr>
          <w:rFonts w:hint="eastAsia" w:ascii="微软雅黑" w:hAnsi="微软雅黑" w:eastAsia="微软雅黑"/>
          <w:bCs/>
          <w:sz w:val="24"/>
          <w:szCs w:val="24"/>
        </w:rPr>
        <w:t>、分析异常情况的原因</w:t>
      </w:r>
    </w:p>
    <w:p>
      <w:pPr>
        <w:rPr>
          <w:rFonts w:hint="eastAsia"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双汇2014-2018年现金净增加额没有异常。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5</w:t>
      </w:r>
      <w:r>
        <w:rPr>
          <w:rFonts w:hint="eastAsia" w:ascii="微软雅黑" w:hAnsi="微软雅黑" w:eastAsia="微软雅黑"/>
          <w:bCs/>
          <w:sz w:val="24"/>
          <w:szCs w:val="24"/>
        </w:rPr>
        <w:t>、根据分析结果，得出结论</w:t>
      </w:r>
    </w:p>
    <w:p>
      <w:pPr>
        <w:rPr>
          <w:rFonts w:hint="eastAsia"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根据分析结果，</w:t>
      </w:r>
      <w:r>
        <w:rPr>
          <w:rFonts w:hint="eastAsia" w:ascii="微软雅黑" w:hAnsi="微软雅黑" w:eastAsia="微软雅黑"/>
          <w:b w:val="0"/>
          <w:sz w:val="24"/>
          <w:szCs w:val="24"/>
        </w:rPr>
        <w:t>双汇发展的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现金净增加额这个指标是否有风险，如果有</w:t>
      </w:r>
      <w:r>
        <w:rPr>
          <w:rFonts w:hint="eastAsia" w:ascii="微软雅黑" w:hAnsi="微软雅黑" w:eastAsia="微软雅黑"/>
          <w:b w:val="0"/>
          <w:bCs/>
          <w:sz w:val="22"/>
          <w:szCs w:val="24"/>
        </w:rPr>
        <w:t>，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具体有什么风险？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六、现金余额</w:t>
      </w: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hint="eastAsia" w:ascii="微软雅黑" w:hAnsi="微软雅黑" w:eastAsia="微软雅黑"/>
          <w:bCs/>
          <w:sz w:val="24"/>
          <w:szCs w:val="24"/>
        </w:rPr>
        <w:t>1、分析思路</w:t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drawing>
          <wp:inline distT="0" distB="0" distL="0" distR="0">
            <wp:extent cx="5274310" cy="1685925"/>
            <wp:effectExtent l="0" t="0" r="254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2、数据收集汇总：期末现金及现金等价物余额</w:t>
      </w:r>
      <w:r>
        <w:rPr>
          <w:rFonts w:ascii="微软雅黑" w:hAnsi="微软雅黑" w:eastAsia="微软雅黑"/>
          <w:sz w:val="24"/>
          <w:szCs w:val="24"/>
        </w:rPr>
        <w:t xml:space="preserve"> </w:t>
      </w:r>
      <w:r>
        <w:rPr>
          <w:rFonts w:ascii="微软雅黑" w:hAnsi="微软雅黑" w:eastAsia="微软雅黑"/>
          <w:b w:val="0"/>
          <w:sz w:val="24"/>
          <w:szCs w:val="24"/>
        </w:rPr>
        <w:br w:type="textWrapping" w:clear="all"/>
      </w:r>
      <w:r>
        <w:drawing>
          <wp:inline distT="0" distB="0" distL="0" distR="0">
            <wp:extent cx="5274310" cy="6858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6917" cy="69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 w:val="0"/>
          <w:sz w:val="24"/>
          <w:szCs w:val="24"/>
        </w:rPr>
      </w:pPr>
      <w:r>
        <w:rPr>
          <w:rFonts w:hint="eastAsia" w:ascii="微软雅黑" w:hAnsi="微软雅黑" w:eastAsia="微软雅黑"/>
          <w:b w:val="0"/>
          <w:sz w:val="24"/>
          <w:szCs w:val="24"/>
        </w:rPr>
        <w:t>我们可以看到双汇发展在</w:t>
      </w:r>
      <w:r>
        <w:rPr>
          <w:rFonts w:ascii="微软雅黑" w:hAnsi="微软雅黑" w:eastAsia="微软雅黑"/>
          <w:b w:val="0"/>
          <w:sz w:val="24"/>
          <w:szCs w:val="24"/>
        </w:rPr>
        <w:t>2014</w:t>
      </w:r>
      <w:r>
        <w:rPr>
          <w:rFonts w:hint="eastAsia" w:ascii="微软雅黑" w:hAnsi="微软雅黑" w:eastAsia="微软雅黑"/>
          <w:b w:val="0"/>
          <w:sz w:val="24"/>
          <w:szCs w:val="24"/>
        </w:rPr>
        <w:t>-2018年每年期末现金及现金等价物余额分别为：2</w:t>
      </w:r>
      <w:r>
        <w:rPr>
          <w:rFonts w:ascii="微软雅黑" w:hAnsi="微软雅黑" w:eastAsia="微软雅黑"/>
          <w:b w:val="0"/>
          <w:sz w:val="24"/>
          <w:szCs w:val="24"/>
        </w:rPr>
        <w:t>8.78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亿、2</w:t>
      </w:r>
      <w:r>
        <w:rPr>
          <w:rFonts w:ascii="微软雅黑" w:hAnsi="微软雅黑" w:eastAsia="微软雅黑"/>
          <w:b w:val="0"/>
          <w:sz w:val="24"/>
          <w:szCs w:val="24"/>
        </w:rPr>
        <w:t>3.95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亿、2</w:t>
      </w:r>
      <w:r>
        <w:rPr>
          <w:rFonts w:ascii="微软雅黑" w:hAnsi="微软雅黑" w:eastAsia="微软雅黑"/>
          <w:b w:val="0"/>
          <w:sz w:val="24"/>
          <w:szCs w:val="24"/>
        </w:rPr>
        <w:t>9.76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亿、5</w:t>
      </w:r>
      <w:r>
        <w:rPr>
          <w:rFonts w:ascii="微软雅黑" w:hAnsi="微软雅黑" w:eastAsia="微软雅黑"/>
          <w:b w:val="0"/>
          <w:sz w:val="24"/>
          <w:szCs w:val="24"/>
        </w:rPr>
        <w:t>7.44</w:t>
      </w:r>
      <w:r>
        <w:rPr>
          <w:rFonts w:hint="eastAsia" w:ascii="微软雅黑" w:hAnsi="微软雅黑" w:eastAsia="微软雅黑"/>
          <w:b w:val="0"/>
          <w:sz w:val="24"/>
          <w:szCs w:val="24"/>
        </w:rPr>
        <w:t>亿、23.32亿的现金，可见双汇发展的实力还是比较强的。</w:t>
      </w:r>
    </w:p>
    <w:p>
      <w:pPr>
        <w:rPr>
          <w:rFonts w:ascii="微软雅黑" w:hAnsi="微软雅黑" w:eastAsia="微软雅黑"/>
          <w:b w:val="0"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3</w:t>
      </w:r>
      <w:r>
        <w:rPr>
          <w:rFonts w:hint="eastAsia" w:ascii="微软雅黑" w:hAnsi="微软雅黑" w:eastAsia="微软雅黑"/>
          <w:bCs/>
          <w:sz w:val="24"/>
          <w:szCs w:val="24"/>
        </w:rPr>
        <w:t>、分析异常情况的原因</w:t>
      </w:r>
    </w:p>
    <w:p>
      <w:pPr>
        <w:rPr>
          <w:rFonts w:hint="eastAsia"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双汇2014-2018年现金余额没有异常。</w:t>
      </w:r>
    </w:p>
    <w:p>
      <w:pPr>
        <w:rPr>
          <w:rFonts w:ascii="微软雅黑" w:hAnsi="微软雅黑" w:eastAsia="微软雅黑"/>
          <w:b w:val="0"/>
          <w:bCs/>
          <w:sz w:val="24"/>
          <w:szCs w:val="24"/>
        </w:rPr>
      </w:pPr>
    </w:p>
    <w:p>
      <w:pPr>
        <w:rPr>
          <w:rFonts w:ascii="微软雅黑" w:hAnsi="微软雅黑" w:eastAsia="微软雅黑"/>
          <w:bCs/>
          <w:sz w:val="24"/>
          <w:szCs w:val="24"/>
        </w:rPr>
      </w:pPr>
      <w:r>
        <w:rPr>
          <w:rFonts w:ascii="微软雅黑" w:hAnsi="微软雅黑" w:eastAsia="微软雅黑"/>
          <w:bCs/>
          <w:sz w:val="24"/>
          <w:szCs w:val="24"/>
        </w:rPr>
        <w:t>4</w:t>
      </w:r>
      <w:r>
        <w:rPr>
          <w:rFonts w:hint="eastAsia" w:ascii="微软雅黑" w:hAnsi="微软雅黑" w:eastAsia="微软雅黑"/>
          <w:bCs/>
          <w:sz w:val="24"/>
          <w:szCs w:val="24"/>
        </w:rPr>
        <w:t>、根据分析结果，得出结论</w:t>
      </w:r>
    </w:p>
    <w:p>
      <w:pPr>
        <w:rPr>
          <w:rFonts w:hint="eastAsia" w:ascii="微软雅黑" w:hAnsi="微软雅黑" w:eastAsia="微软雅黑"/>
          <w:b w:val="0"/>
          <w:bCs/>
          <w:sz w:val="24"/>
          <w:szCs w:val="24"/>
        </w:rPr>
      </w:pPr>
      <w:r>
        <w:rPr>
          <w:rFonts w:hint="eastAsia" w:ascii="微软雅黑" w:hAnsi="微软雅黑" w:eastAsia="微软雅黑"/>
          <w:b w:val="0"/>
          <w:bCs/>
          <w:sz w:val="24"/>
          <w:szCs w:val="24"/>
        </w:rPr>
        <w:t>根据分析结果，</w:t>
      </w:r>
      <w:r>
        <w:rPr>
          <w:rFonts w:hint="eastAsia" w:ascii="微软雅黑" w:hAnsi="微软雅黑" w:eastAsia="微软雅黑"/>
          <w:b w:val="0"/>
          <w:sz w:val="24"/>
          <w:szCs w:val="24"/>
        </w:rPr>
        <w:t>双汇发展的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现金余额这个指标是否有风险，如果有</w:t>
      </w:r>
      <w:r>
        <w:rPr>
          <w:rFonts w:hint="eastAsia" w:ascii="微软雅黑" w:hAnsi="微软雅黑" w:eastAsia="微软雅黑"/>
          <w:b w:val="0"/>
          <w:bCs/>
          <w:sz w:val="22"/>
          <w:szCs w:val="24"/>
        </w:rPr>
        <w:t>，</w:t>
      </w:r>
      <w:r>
        <w:rPr>
          <w:rFonts w:hint="eastAsia" w:ascii="微软雅黑" w:hAnsi="微软雅黑" w:eastAsia="微软雅黑"/>
          <w:b w:val="0"/>
          <w:bCs/>
          <w:sz w:val="24"/>
          <w:szCs w:val="24"/>
        </w:rPr>
        <w:t>具体有什么风险？</w:t>
      </w:r>
    </w:p>
    <w:p>
      <w:pPr>
        <w:rPr>
          <w:rFonts w:ascii="微软雅黑" w:hAnsi="微软雅黑" w:eastAsia="微软雅黑"/>
          <w:sz w:val="24"/>
          <w:szCs w:val="24"/>
        </w:rPr>
      </w:pPr>
    </w:p>
    <w:p>
      <w:pPr>
        <w:tabs>
          <w:tab w:val="left" w:pos="2684"/>
        </w:tabs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C74FBF"/>
    <w:multiLevelType w:val="multilevel"/>
    <w:tmpl w:val="0DC74FBF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6EDB"/>
    <w:rsid w:val="000007AA"/>
    <w:rsid w:val="0001018F"/>
    <w:rsid w:val="00014174"/>
    <w:rsid w:val="00031F03"/>
    <w:rsid w:val="0004298E"/>
    <w:rsid w:val="0004300E"/>
    <w:rsid w:val="000454E6"/>
    <w:rsid w:val="00052B64"/>
    <w:rsid w:val="00055A48"/>
    <w:rsid w:val="00061D31"/>
    <w:rsid w:val="00061E65"/>
    <w:rsid w:val="000647D4"/>
    <w:rsid w:val="00071354"/>
    <w:rsid w:val="0007158A"/>
    <w:rsid w:val="000720C0"/>
    <w:rsid w:val="000765D6"/>
    <w:rsid w:val="00085CA0"/>
    <w:rsid w:val="000968DA"/>
    <w:rsid w:val="000B2D87"/>
    <w:rsid w:val="000B42F3"/>
    <w:rsid w:val="000C43AA"/>
    <w:rsid w:val="000D5B1F"/>
    <w:rsid w:val="000F27BF"/>
    <w:rsid w:val="000F4BB1"/>
    <w:rsid w:val="000F6028"/>
    <w:rsid w:val="000F7AFC"/>
    <w:rsid w:val="00103A65"/>
    <w:rsid w:val="00103A7B"/>
    <w:rsid w:val="001065DB"/>
    <w:rsid w:val="00113999"/>
    <w:rsid w:val="0012050A"/>
    <w:rsid w:val="0012136B"/>
    <w:rsid w:val="0012370B"/>
    <w:rsid w:val="0013093E"/>
    <w:rsid w:val="00130B9B"/>
    <w:rsid w:val="0013136B"/>
    <w:rsid w:val="001353FA"/>
    <w:rsid w:val="00144E76"/>
    <w:rsid w:val="00145EAB"/>
    <w:rsid w:val="00146283"/>
    <w:rsid w:val="00154A29"/>
    <w:rsid w:val="00156014"/>
    <w:rsid w:val="00156A6C"/>
    <w:rsid w:val="001577CB"/>
    <w:rsid w:val="001774D4"/>
    <w:rsid w:val="00182B77"/>
    <w:rsid w:val="001834D0"/>
    <w:rsid w:val="001845AD"/>
    <w:rsid w:val="001847F1"/>
    <w:rsid w:val="00187F49"/>
    <w:rsid w:val="00196E6C"/>
    <w:rsid w:val="001A08C2"/>
    <w:rsid w:val="001A3422"/>
    <w:rsid w:val="001A442D"/>
    <w:rsid w:val="001A62DA"/>
    <w:rsid w:val="001B5012"/>
    <w:rsid w:val="001B7507"/>
    <w:rsid w:val="001C3DB5"/>
    <w:rsid w:val="001C4B80"/>
    <w:rsid w:val="001D097B"/>
    <w:rsid w:val="001D4E08"/>
    <w:rsid w:val="001D7D09"/>
    <w:rsid w:val="001E03A6"/>
    <w:rsid w:val="001E6318"/>
    <w:rsid w:val="001E7916"/>
    <w:rsid w:val="001F2E28"/>
    <w:rsid w:val="001F73D5"/>
    <w:rsid w:val="002039BD"/>
    <w:rsid w:val="00206013"/>
    <w:rsid w:val="00220AD2"/>
    <w:rsid w:val="00225074"/>
    <w:rsid w:val="002340F6"/>
    <w:rsid w:val="00234932"/>
    <w:rsid w:val="00243117"/>
    <w:rsid w:val="0024577C"/>
    <w:rsid w:val="0024720F"/>
    <w:rsid w:val="00251D42"/>
    <w:rsid w:val="00253A65"/>
    <w:rsid w:val="00257FDC"/>
    <w:rsid w:val="00261EFB"/>
    <w:rsid w:val="002642BA"/>
    <w:rsid w:val="00271288"/>
    <w:rsid w:val="0027644F"/>
    <w:rsid w:val="002809C2"/>
    <w:rsid w:val="00283DFD"/>
    <w:rsid w:val="002904B9"/>
    <w:rsid w:val="002A67E7"/>
    <w:rsid w:val="002B39D2"/>
    <w:rsid w:val="002C06F8"/>
    <w:rsid w:val="002C110E"/>
    <w:rsid w:val="002C1271"/>
    <w:rsid w:val="002C1D3A"/>
    <w:rsid w:val="002C4A4B"/>
    <w:rsid w:val="002D5E2A"/>
    <w:rsid w:val="002D707E"/>
    <w:rsid w:val="002E032E"/>
    <w:rsid w:val="002E1A44"/>
    <w:rsid w:val="002E6BC6"/>
    <w:rsid w:val="002F0403"/>
    <w:rsid w:val="002F3199"/>
    <w:rsid w:val="002F3BB8"/>
    <w:rsid w:val="00311248"/>
    <w:rsid w:val="00314557"/>
    <w:rsid w:val="00315A3F"/>
    <w:rsid w:val="00325821"/>
    <w:rsid w:val="00334942"/>
    <w:rsid w:val="00336C56"/>
    <w:rsid w:val="00341F32"/>
    <w:rsid w:val="00343844"/>
    <w:rsid w:val="00352576"/>
    <w:rsid w:val="00354656"/>
    <w:rsid w:val="00361270"/>
    <w:rsid w:val="0036403F"/>
    <w:rsid w:val="00367F29"/>
    <w:rsid w:val="003773D0"/>
    <w:rsid w:val="00384340"/>
    <w:rsid w:val="00393D2D"/>
    <w:rsid w:val="003A4C6D"/>
    <w:rsid w:val="003A6D9F"/>
    <w:rsid w:val="003B50DD"/>
    <w:rsid w:val="003B5C37"/>
    <w:rsid w:val="003B68B7"/>
    <w:rsid w:val="003B75C3"/>
    <w:rsid w:val="003C2A14"/>
    <w:rsid w:val="003C7F5C"/>
    <w:rsid w:val="003D25C1"/>
    <w:rsid w:val="003D4D69"/>
    <w:rsid w:val="003E2CC3"/>
    <w:rsid w:val="003E3763"/>
    <w:rsid w:val="003E649C"/>
    <w:rsid w:val="004108EA"/>
    <w:rsid w:val="0041225E"/>
    <w:rsid w:val="00422E38"/>
    <w:rsid w:val="00425158"/>
    <w:rsid w:val="00434EE9"/>
    <w:rsid w:val="00441201"/>
    <w:rsid w:val="00446AA6"/>
    <w:rsid w:val="00451BF9"/>
    <w:rsid w:val="004613A6"/>
    <w:rsid w:val="00463AEF"/>
    <w:rsid w:val="00474780"/>
    <w:rsid w:val="004760D6"/>
    <w:rsid w:val="00483F1D"/>
    <w:rsid w:val="00484263"/>
    <w:rsid w:val="00487885"/>
    <w:rsid w:val="004944A2"/>
    <w:rsid w:val="00494751"/>
    <w:rsid w:val="004B0057"/>
    <w:rsid w:val="004B6434"/>
    <w:rsid w:val="004B67BF"/>
    <w:rsid w:val="004B6A0B"/>
    <w:rsid w:val="004C76A7"/>
    <w:rsid w:val="004D1247"/>
    <w:rsid w:val="004D3C82"/>
    <w:rsid w:val="004E410C"/>
    <w:rsid w:val="004E68C6"/>
    <w:rsid w:val="004F6F2E"/>
    <w:rsid w:val="00504F67"/>
    <w:rsid w:val="005063E9"/>
    <w:rsid w:val="005111B0"/>
    <w:rsid w:val="00511C9A"/>
    <w:rsid w:val="00514957"/>
    <w:rsid w:val="00516EE3"/>
    <w:rsid w:val="005220CD"/>
    <w:rsid w:val="005301A3"/>
    <w:rsid w:val="00536E5D"/>
    <w:rsid w:val="0054105F"/>
    <w:rsid w:val="005447A3"/>
    <w:rsid w:val="00550C51"/>
    <w:rsid w:val="005565E9"/>
    <w:rsid w:val="005601FA"/>
    <w:rsid w:val="0056421C"/>
    <w:rsid w:val="005702D7"/>
    <w:rsid w:val="00573470"/>
    <w:rsid w:val="005737EC"/>
    <w:rsid w:val="00574CB9"/>
    <w:rsid w:val="005815F7"/>
    <w:rsid w:val="0058195F"/>
    <w:rsid w:val="00585716"/>
    <w:rsid w:val="00587608"/>
    <w:rsid w:val="00593F24"/>
    <w:rsid w:val="005A4F3A"/>
    <w:rsid w:val="005B27BA"/>
    <w:rsid w:val="005B50FB"/>
    <w:rsid w:val="005C0257"/>
    <w:rsid w:val="005C0482"/>
    <w:rsid w:val="005C144C"/>
    <w:rsid w:val="005C213C"/>
    <w:rsid w:val="005D21DD"/>
    <w:rsid w:val="005D3B1A"/>
    <w:rsid w:val="005D4A95"/>
    <w:rsid w:val="005E6E53"/>
    <w:rsid w:val="005F48EA"/>
    <w:rsid w:val="00601FEE"/>
    <w:rsid w:val="00603D11"/>
    <w:rsid w:val="006064DD"/>
    <w:rsid w:val="006125C3"/>
    <w:rsid w:val="00612E5A"/>
    <w:rsid w:val="0063210F"/>
    <w:rsid w:val="00632CAA"/>
    <w:rsid w:val="006413DE"/>
    <w:rsid w:val="006531D5"/>
    <w:rsid w:val="006548E4"/>
    <w:rsid w:val="00655F8E"/>
    <w:rsid w:val="00661518"/>
    <w:rsid w:val="00662C52"/>
    <w:rsid w:val="00662C59"/>
    <w:rsid w:val="00663B02"/>
    <w:rsid w:val="00667E45"/>
    <w:rsid w:val="006745C4"/>
    <w:rsid w:val="0067716B"/>
    <w:rsid w:val="00680127"/>
    <w:rsid w:val="0068023A"/>
    <w:rsid w:val="00683720"/>
    <w:rsid w:val="006859F6"/>
    <w:rsid w:val="00697F5B"/>
    <w:rsid w:val="006A583B"/>
    <w:rsid w:val="006A5CCC"/>
    <w:rsid w:val="006B1C73"/>
    <w:rsid w:val="006B39A0"/>
    <w:rsid w:val="006B646F"/>
    <w:rsid w:val="006C0714"/>
    <w:rsid w:val="006D0790"/>
    <w:rsid w:val="006D21E3"/>
    <w:rsid w:val="006D28EC"/>
    <w:rsid w:val="006D406F"/>
    <w:rsid w:val="006D5CAF"/>
    <w:rsid w:val="006E1898"/>
    <w:rsid w:val="006E2A8C"/>
    <w:rsid w:val="006F36F5"/>
    <w:rsid w:val="006F3B8A"/>
    <w:rsid w:val="006F3F95"/>
    <w:rsid w:val="006F46FA"/>
    <w:rsid w:val="006F6A04"/>
    <w:rsid w:val="0071537E"/>
    <w:rsid w:val="00734E48"/>
    <w:rsid w:val="007439E2"/>
    <w:rsid w:val="0074535D"/>
    <w:rsid w:val="0075088F"/>
    <w:rsid w:val="00750B83"/>
    <w:rsid w:val="007571E8"/>
    <w:rsid w:val="007641E0"/>
    <w:rsid w:val="007701E6"/>
    <w:rsid w:val="007910A0"/>
    <w:rsid w:val="007913B1"/>
    <w:rsid w:val="00794594"/>
    <w:rsid w:val="007A1ADB"/>
    <w:rsid w:val="007A40CA"/>
    <w:rsid w:val="007A5F98"/>
    <w:rsid w:val="007B043E"/>
    <w:rsid w:val="007B1C2B"/>
    <w:rsid w:val="007B284A"/>
    <w:rsid w:val="007B5EA1"/>
    <w:rsid w:val="007C12C4"/>
    <w:rsid w:val="007C4971"/>
    <w:rsid w:val="007C7506"/>
    <w:rsid w:val="007E739B"/>
    <w:rsid w:val="007E7738"/>
    <w:rsid w:val="007F1F99"/>
    <w:rsid w:val="007F417E"/>
    <w:rsid w:val="008014BC"/>
    <w:rsid w:val="00801FDB"/>
    <w:rsid w:val="00803CB9"/>
    <w:rsid w:val="00813328"/>
    <w:rsid w:val="008144E8"/>
    <w:rsid w:val="008147A5"/>
    <w:rsid w:val="00825464"/>
    <w:rsid w:val="008327B6"/>
    <w:rsid w:val="00833386"/>
    <w:rsid w:val="008378F0"/>
    <w:rsid w:val="00845AB4"/>
    <w:rsid w:val="00850F79"/>
    <w:rsid w:val="00852AD5"/>
    <w:rsid w:val="00852B57"/>
    <w:rsid w:val="00852F21"/>
    <w:rsid w:val="00864727"/>
    <w:rsid w:val="00866131"/>
    <w:rsid w:val="00872CC4"/>
    <w:rsid w:val="00873775"/>
    <w:rsid w:val="0087453A"/>
    <w:rsid w:val="00891ACE"/>
    <w:rsid w:val="00893A5C"/>
    <w:rsid w:val="008A1B81"/>
    <w:rsid w:val="008A35ED"/>
    <w:rsid w:val="008A68B5"/>
    <w:rsid w:val="008B42C2"/>
    <w:rsid w:val="008B7611"/>
    <w:rsid w:val="008C292D"/>
    <w:rsid w:val="008C3A6E"/>
    <w:rsid w:val="008C401F"/>
    <w:rsid w:val="008D1767"/>
    <w:rsid w:val="008D41D9"/>
    <w:rsid w:val="008D4AED"/>
    <w:rsid w:val="008E0E3E"/>
    <w:rsid w:val="008E1480"/>
    <w:rsid w:val="008E34C0"/>
    <w:rsid w:val="008E6A18"/>
    <w:rsid w:val="008E736D"/>
    <w:rsid w:val="008E7E3A"/>
    <w:rsid w:val="008F0217"/>
    <w:rsid w:val="008F081C"/>
    <w:rsid w:val="008F5B35"/>
    <w:rsid w:val="009013E5"/>
    <w:rsid w:val="00904073"/>
    <w:rsid w:val="009107D2"/>
    <w:rsid w:val="009120C1"/>
    <w:rsid w:val="00922235"/>
    <w:rsid w:val="0092431E"/>
    <w:rsid w:val="00926214"/>
    <w:rsid w:val="00940031"/>
    <w:rsid w:val="00952AA3"/>
    <w:rsid w:val="009545AA"/>
    <w:rsid w:val="00965D9F"/>
    <w:rsid w:val="00977747"/>
    <w:rsid w:val="00981D92"/>
    <w:rsid w:val="0098215C"/>
    <w:rsid w:val="0099619E"/>
    <w:rsid w:val="009A4548"/>
    <w:rsid w:val="009A4BF7"/>
    <w:rsid w:val="009A730E"/>
    <w:rsid w:val="009B3029"/>
    <w:rsid w:val="009B6357"/>
    <w:rsid w:val="009C0235"/>
    <w:rsid w:val="009C2B49"/>
    <w:rsid w:val="009C4AB8"/>
    <w:rsid w:val="009D03A1"/>
    <w:rsid w:val="009D0EDF"/>
    <w:rsid w:val="009D361A"/>
    <w:rsid w:val="009E12D5"/>
    <w:rsid w:val="009E44E2"/>
    <w:rsid w:val="009F5ED4"/>
    <w:rsid w:val="00A00E18"/>
    <w:rsid w:val="00A02168"/>
    <w:rsid w:val="00A05389"/>
    <w:rsid w:val="00A05486"/>
    <w:rsid w:val="00A05E86"/>
    <w:rsid w:val="00A06EA6"/>
    <w:rsid w:val="00A159AE"/>
    <w:rsid w:val="00A20531"/>
    <w:rsid w:val="00A21DD3"/>
    <w:rsid w:val="00A318F5"/>
    <w:rsid w:val="00A3728A"/>
    <w:rsid w:val="00A40D06"/>
    <w:rsid w:val="00A445E2"/>
    <w:rsid w:val="00A46AEE"/>
    <w:rsid w:val="00A46B15"/>
    <w:rsid w:val="00A538B6"/>
    <w:rsid w:val="00A63E40"/>
    <w:rsid w:val="00A7545D"/>
    <w:rsid w:val="00A7635C"/>
    <w:rsid w:val="00A80085"/>
    <w:rsid w:val="00A8445C"/>
    <w:rsid w:val="00A92415"/>
    <w:rsid w:val="00A96A44"/>
    <w:rsid w:val="00AA630F"/>
    <w:rsid w:val="00AA6963"/>
    <w:rsid w:val="00AA7FB3"/>
    <w:rsid w:val="00AB160E"/>
    <w:rsid w:val="00AB19C8"/>
    <w:rsid w:val="00AB2A24"/>
    <w:rsid w:val="00AB36B3"/>
    <w:rsid w:val="00AB65EB"/>
    <w:rsid w:val="00AC07CC"/>
    <w:rsid w:val="00AC28B9"/>
    <w:rsid w:val="00AC3D9D"/>
    <w:rsid w:val="00AC3F7C"/>
    <w:rsid w:val="00AD1472"/>
    <w:rsid w:val="00AD1686"/>
    <w:rsid w:val="00AE2AB7"/>
    <w:rsid w:val="00AE2DAD"/>
    <w:rsid w:val="00AE7901"/>
    <w:rsid w:val="00AF669D"/>
    <w:rsid w:val="00B00698"/>
    <w:rsid w:val="00B075E5"/>
    <w:rsid w:val="00B232E3"/>
    <w:rsid w:val="00B25698"/>
    <w:rsid w:val="00B275C0"/>
    <w:rsid w:val="00B31E40"/>
    <w:rsid w:val="00B333EF"/>
    <w:rsid w:val="00B34D51"/>
    <w:rsid w:val="00B47416"/>
    <w:rsid w:val="00B50CC9"/>
    <w:rsid w:val="00B567D8"/>
    <w:rsid w:val="00B56F4F"/>
    <w:rsid w:val="00B61BC2"/>
    <w:rsid w:val="00B63360"/>
    <w:rsid w:val="00B67CA1"/>
    <w:rsid w:val="00B7518A"/>
    <w:rsid w:val="00B75326"/>
    <w:rsid w:val="00B75E92"/>
    <w:rsid w:val="00B76166"/>
    <w:rsid w:val="00B81B5E"/>
    <w:rsid w:val="00B8404A"/>
    <w:rsid w:val="00B84465"/>
    <w:rsid w:val="00BA050D"/>
    <w:rsid w:val="00BA5DAB"/>
    <w:rsid w:val="00BB1287"/>
    <w:rsid w:val="00BB2A69"/>
    <w:rsid w:val="00BB51F2"/>
    <w:rsid w:val="00BD0108"/>
    <w:rsid w:val="00BD12B6"/>
    <w:rsid w:val="00BD25D4"/>
    <w:rsid w:val="00BE04E2"/>
    <w:rsid w:val="00BE0A33"/>
    <w:rsid w:val="00BE3271"/>
    <w:rsid w:val="00BE5782"/>
    <w:rsid w:val="00BE6DA1"/>
    <w:rsid w:val="00BF10BF"/>
    <w:rsid w:val="00BF5074"/>
    <w:rsid w:val="00C14770"/>
    <w:rsid w:val="00C165FA"/>
    <w:rsid w:val="00C16D04"/>
    <w:rsid w:val="00C22A7F"/>
    <w:rsid w:val="00C24F91"/>
    <w:rsid w:val="00C35E36"/>
    <w:rsid w:val="00C41D18"/>
    <w:rsid w:val="00C42FC6"/>
    <w:rsid w:val="00C46BCD"/>
    <w:rsid w:val="00C47061"/>
    <w:rsid w:val="00C511F6"/>
    <w:rsid w:val="00C52C5D"/>
    <w:rsid w:val="00C5381A"/>
    <w:rsid w:val="00C564F2"/>
    <w:rsid w:val="00C65766"/>
    <w:rsid w:val="00C65BF2"/>
    <w:rsid w:val="00C71A4B"/>
    <w:rsid w:val="00C72E8C"/>
    <w:rsid w:val="00C81BCE"/>
    <w:rsid w:val="00C83ED1"/>
    <w:rsid w:val="00C909E1"/>
    <w:rsid w:val="00C92C04"/>
    <w:rsid w:val="00C93247"/>
    <w:rsid w:val="00CB4316"/>
    <w:rsid w:val="00CC683F"/>
    <w:rsid w:val="00CD2BA8"/>
    <w:rsid w:val="00CE3ED4"/>
    <w:rsid w:val="00CE62A3"/>
    <w:rsid w:val="00CE6829"/>
    <w:rsid w:val="00CE6915"/>
    <w:rsid w:val="00CF09B8"/>
    <w:rsid w:val="00D00864"/>
    <w:rsid w:val="00D125DB"/>
    <w:rsid w:val="00D17594"/>
    <w:rsid w:val="00D22991"/>
    <w:rsid w:val="00D246FC"/>
    <w:rsid w:val="00D41162"/>
    <w:rsid w:val="00D44C00"/>
    <w:rsid w:val="00D44E71"/>
    <w:rsid w:val="00D537C3"/>
    <w:rsid w:val="00D53DCC"/>
    <w:rsid w:val="00D64954"/>
    <w:rsid w:val="00D64DC0"/>
    <w:rsid w:val="00D67737"/>
    <w:rsid w:val="00D70A02"/>
    <w:rsid w:val="00D7600D"/>
    <w:rsid w:val="00D85B15"/>
    <w:rsid w:val="00D94BFE"/>
    <w:rsid w:val="00DA0793"/>
    <w:rsid w:val="00DA1C22"/>
    <w:rsid w:val="00DA541F"/>
    <w:rsid w:val="00DB13AF"/>
    <w:rsid w:val="00DB2FDA"/>
    <w:rsid w:val="00DB6334"/>
    <w:rsid w:val="00DC5A38"/>
    <w:rsid w:val="00DD0D88"/>
    <w:rsid w:val="00DD337F"/>
    <w:rsid w:val="00DD6A89"/>
    <w:rsid w:val="00DE0D84"/>
    <w:rsid w:val="00DE18D4"/>
    <w:rsid w:val="00DE39B1"/>
    <w:rsid w:val="00DF1515"/>
    <w:rsid w:val="00DF2EAB"/>
    <w:rsid w:val="00E00DC1"/>
    <w:rsid w:val="00E04B45"/>
    <w:rsid w:val="00E0680B"/>
    <w:rsid w:val="00E07610"/>
    <w:rsid w:val="00E175A3"/>
    <w:rsid w:val="00E243F4"/>
    <w:rsid w:val="00E27065"/>
    <w:rsid w:val="00E27F92"/>
    <w:rsid w:val="00E30CB9"/>
    <w:rsid w:val="00E3366D"/>
    <w:rsid w:val="00E338E4"/>
    <w:rsid w:val="00E35010"/>
    <w:rsid w:val="00E5596D"/>
    <w:rsid w:val="00E565C6"/>
    <w:rsid w:val="00E80610"/>
    <w:rsid w:val="00E808CF"/>
    <w:rsid w:val="00E82632"/>
    <w:rsid w:val="00E867A2"/>
    <w:rsid w:val="00E93631"/>
    <w:rsid w:val="00E96EB8"/>
    <w:rsid w:val="00EA1515"/>
    <w:rsid w:val="00EA18AA"/>
    <w:rsid w:val="00EA6E02"/>
    <w:rsid w:val="00EB1958"/>
    <w:rsid w:val="00EB75E6"/>
    <w:rsid w:val="00EC4595"/>
    <w:rsid w:val="00EE28D0"/>
    <w:rsid w:val="00EE37D5"/>
    <w:rsid w:val="00EE4B48"/>
    <w:rsid w:val="00EF4512"/>
    <w:rsid w:val="00EF6DDC"/>
    <w:rsid w:val="00F06A48"/>
    <w:rsid w:val="00F06D2D"/>
    <w:rsid w:val="00F11007"/>
    <w:rsid w:val="00F12DD0"/>
    <w:rsid w:val="00F201C8"/>
    <w:rsid w:val="00F2285B"/>
    <w:rsid w:val="00F23F3B"/>
    <w:rsid w:val="00F278EE"/>
    <w:rsid w:val="00F320AB"/>
    <w:rsid w:val="00F428C6"/>
    <w:rsid w:val="00F449E6"/>
    <w:rsid w:val="00F547B8"/>
    <w:rsid w:val="00F60072"/>
    <w:rsid w:val="00F635FD"/>
    <w:rsid w:val="00F66C9A"/>
    <w:rsid w:val="00F73F7F"/>
    <w:rsid w:val="00F74581"/>
    <w:rsid w:val="00F75205"/>
    <w:rsid w:val="00F754AA"/>
    <w:rsid w:val="00F82562"/>
    <w:rsid w:val="00F83E62"/>
    <w:rsid w:val="00F86EDB"/>
    <w:rsid w:val="00F874D9"/>
    <w:rsid w:val="00F87B03"/>
    <w:rsid w:val="00F91942"/>
    <w:rsid w:val="00F95F5A"/>
    <w:rsid w:val="00F968C1"/>
    <w:rsid w:val="00FA0D54"/>
    <w:rsid w:val="00FA1342"/>
    <w:rsid w:val="00FA16E1"/>
    <w:rsid w:val="00FA2B40"/>
    <w:rsid w:val="00FB01BC"/>
    <w:rsid w:val="00FB5BD5"/>
    <w:rsid w:val="00FB63E1"/>
    <w:rsid w:val="00FB7FF4"/>
    <w:rsid w:val="00FC1A7E"/>
    <w:rsid w:val="00FC6630"/>
    <w:rsid w:val="00FC7DCF"/>
    <w:rsid w:val="00FD72CE"/>
    <w:rsid w:val="00FE191B"/>
    <w:rsid w:val="00FE39E6"/>
    <w:rsid w:val="00FE3BBA"/>
    <w:rsid w:val="00FE538F"/>
    <w:rsid w:val="00FE6F87"/>
    <w:rsid w:val="00FF2187"/>
    <w:rsid w:val="00FF2572"/>
    <w:rsid w:val="00FF340E"/>
    <w:rsid w:val="00FF52C8"/>
    <w:rsid w:val="4C0915C6"/>
    <w:rsid w:val="5386604E"/>
    <w:rsid w:val="75375A8E"/>
    <w:rsid w:val="7BF04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微软雅黑" w:asciiTheme="minorHAnsi" w:hAnsiTheme="minorHAnsi" w:eastAsiaTheme="minorEastAsia"/>
      <w:b/>
      <w:color w:val="000000" w:themeColor="text1"/>
      <w:kern w:val="2"/>
      <w:sz w:val="28"/>
      <w:szCs w:val="28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rFonts w:cstheme="minorBidi"/>
      <w:b w:val="0"/>
      <w:color w:val="auto"/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cstheme="minorBidi"/>
      <w:b w:val="0"/>
      <w:color w:val="auto"/>
      <w:sz w:val="18"/>
      <w:szCs w:val="18"/>
    </w:rPr>
  </w:style>
  <w:style w:type="character" w:customStyle="1" w:styleId="7">
    <w:name w:val="页眉 Char"/>
    <w:basedOn w:val="6"/>
    <w:link w:val="4"/>
    <w:uiPriority w:val="99"/>
    <w:rPr>
      <w:sz w:val="18"/>
      <w:szCs w:val="18"/>
    </w:rPr>
  </w:style>
  <w:style w:type="character" w:customStyle="1" w:styleId="8">
    <w:name w:val="页脚 Char"/>
    <w:basedOn w:val="6"/>
    <w:link w:val="3"/>
    <w:uiPriority w:val="99"/>
    <w:rPr>
      <w:sz w:val="18"/>
      <w:szCs w:val="18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  <w:style w:type="character" w:customStyle="1" w:styleId="10">
    <w:name w:val="批注框文本 Char"/>
    <w:basedOn w:val="6"/>
    <w:link w:val="2"/>
    <w:semiHidden/>
    <w:uiPriority w:val="99"/>
    <w:rPr>
      <w:rFonts w:cs="微软雅黑"/>
      <w:b/>
      <w:color w:val="000000" w:themeColor="text1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391</Words>
  <Characters>2230</Characters>
  <Lines>18</Lines>
  <Paragraphs>5</Paragraphs>
  <TotalTime>1</TotalTime>
  <ScaleCrop>false</ScaleCrop>
  <LinksUpToDate>false</LinksUpToDate>
  <CharactersWithSpaces>2616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2020-01-22T13:27:00Z</dcterms:created>
  <dc:creator>美芹 周</dc:creator>
  <cp:lastModifiedBy>大庆</cp:lastModifiedBy>
  <dcterms:modified xsi:type="dcterms:W3CDTF">2020-02-05T03:18:32Z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