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247B4" w14:textId="77777777" w:rsidR="00C11E06" w:rsidRDefault="00C11E06" w:rsidP="009B613E">
      <w:pPr>
        <w:jc w:val="center"/>
        <w:rPr>
          <w:rFonts w:ascii="微软雅黑" w:eastAsia="微软雅黑" w:hAnsi="微软雅黑"/>
          <w:b/>
          <w:bCs/>
          <w:sz w:val="28"/>
          <w:szCs w:val="28"/>
        </w:rPr>
      </w:pPr>
    </w:p>
    <w:p w14:paraId="50F386BF" w14:textId="07640C8E" w:rsidR="009B613E" w:rsidRPr="004863F7" w:rsidRDefault="009B613E" w:rsidP="009B613E">
      <w:pPr>
        <w:jc w:val="center"/>
        <w:rPr>
          <w:rFonts w:ascii="微软雅黑" w:eastAsia="微软雅黑" w:hAnsi="微软雅黑"/>
          <w:b/>
          <w:bCs/>
          <w:sz w:val="28"/>
          <w:szCs w:val="28"/>
        </w:rPr>
      </w:pPr>
      <w:r w:rsidRPr="004863F7">
        <w:rPr>
          <w:rFonts w:ascii="微软雅黑" w:eastAsia="微软雅黑" w:hAnsi="微软雅黑" w:hint="eastAsia"/>
          <w:b/>
          <w:bCs/>
          <w:sz w:val="28"/>
          <w:szCs w:val="28"/>
        </w:rPr>
        <w:t>十</w:t>
      </w:r>
      <w:r>
        <w:rPr>
          <w:rFonts w:ascii="微软雅黑" w:eastAsia="微软雅黑" w:hAnsi="微软雅黑" w:hint="eastAsia"/>
          <w:b/>
          <w:bCs/>
          <w:sz w:val="28"/>
          <w:szCs w:val="28"/>
        </w:rPr>
        <w:t>八</w:t>
      </w:r>
      <w:r w:rsidRPr="004863F7">
        <w:rPr>
          <w:rFonts w:ascii="微软雅黑" w:eastAsia="微软雅黑" w:hAnsi="微软雅黑" w:hint="eastAsia"/>
          <w:b/>
          <w:bCs/>
          <w:sz w:val="28"/>
          <w:szCs w:val="28"/>
        </w:rPr>
        <w:t>周课程涉及的专业名词</w:t>
      </w:r>
    </w:p>
    <w:p w14:paraId="3F32B83B" w14:textId="77777777" w:rsidR="009B613E" w:rsidRDefault="009B613E">
      <w:pPr>
        <w:rPr>
          <w:rFonts w:ascii="微软雅黑" w:eastAsia="微软雅黑" w:hAnsi="微软雅黑" w:cs="Arial"/>
          <w:b/>
          <w:bCs/>
          <w:color w:val="333333"/>
          <w:sz w:val="24"/>
          <w:szCs w:val="24"/>
          <w:shd w:val="clear" w:color="auto" w:fill="FFFFFF"/>
        </w:rPr>
      </w:pPr>
    </w:p>
    <w:p w14:paraId="6F4065F5" w14:textId="77777777" w:rsidR="000020EF" w:rsidRDefault="00E24930">
      <w:pPr>
        <w:rPr>
          <w:rFonts w:ascii="微软雅黑" w:eastAsia="微软雅黑" w:hAnsi="微软雅黑" w:cs="Arial"/>
          <w:color w:val="333333"/>
          <w:szCs w:val="21"/>
          <w:shd w:val="clear" w:color="auto" w:fill="FFFFFF"/>
        </w:rPr>
      </w:pPr>
      <w:r w:rsidRPr="00D66C68">
        <w:rPr>
          <w:rFonts w:ascii="微软雅黑" w:eastAsia="微软雅黑" w:hAnsi="微软雅黑" w:cs="Arial"/>
          <w:b/>
          <w:bCs/>
          <w:color w:val="333333"/>
          <w:sz w:val="24"/>
          <w:szCs w:val="24"/>
          <w:shd w:val="clear" w:color="auto" w:fill="FFFFFF"/>
        </w:rPr>
        <w:t>经营活动</w:t>
      </w:r>
    </w:p>
    <w:p w14:paraId="538C791C" w14:textId="1894974A" w:rsidR="00E24930" w:rsidRPr="00D66C68" w:rsidRDefault="000020EF">
      <w:pPr>
        <w:rPr>
          <w:rFonts w:ascii="微软雅黑" w:eastAsia="微软雅黑" w:hAnsi="微软雅黑"/>
          <w:szCs w:val="21"/>
        </w:rPr>
      </w:pPr>
      <w:r>
        <w:rPr>
          <w:rFonts w:ascii="微软雅黑" w:eastAsia="微软雅黑" w:hAnsi="微软雅黑" w:cs="Arial" w:hint="eastAsia"/>
          <w:color w:val="333333"/>
          <w:szCs w:val="21"/>
          <w:shd w:val="clear" w:color="auto" w:fill="FFFFFF"/>
        </w:rPr>
        <w:t>经营活动</w:t>
      </w:r>
      <w:r w:rsidR="00E24930" w:rsidRPr="00D66C68">
        <w:rPr>
          <w:rFonts w:ascii="微软雅黑" w:eastAsia="微软雅黑" w:hAnsi="微软雅黑" w:cs="Arial"/>
          <w:color w:val="333333"/>
          <w:szCs w:val="21"/>
          <w:shd w:val="clear" w:color="auto" w:fill="FFFFFF"/>
        </w:rPr>
        <w:t>是指企业投资活动和筹资活动以外的所有交易和事项。经营活动的范围很广，</w:t>
      </w:r>
      <w:r w:rsidR="00E24930" w:rsidRPr="00D66C68">
        <w:rPr>
          <w:rFonts w:ascii="微软雅黑" w:eastAsia="微软雅黑" w:hAnsi="微软雅黑" w:cs="Arial" w:hint="eastAsia"/>
          <w:color w:val="333333"/>
          <w:szCs w:val="21"/>
          <w:shd w:val="clear" w:color="auto" w:fill="FFFFFF"/>
        </w:rPr>
        <w:t>比如销售商品、支付工资等。</w:t>
      </w:r>
    </w:p>
    <w:p w14:paraId="5B0A2567" w14:textId="77777777" w:rsidR="000020EF" w:rsidRDefault="00E24930">
      <w:pPr>
        <w:rPr>
          <w:rFonts w:ascii="微软雅黑" w:eastAsia="微软雅黑" w:hAnsi="微软雅黑" w:cs="Arial"/>
          <w:b/>
          <w:bCs/>
          <w:color w:val="333333"/>
          <w:sz w:val="24"/>
          <w:szCs w:val="24"/>
          <w:shd w:val="clear" w:color="auto" w:fill="FFFFFF"/>
        </w:rPr>
      </w:pPr>
      <w:r w:rsidRPr="00D66C68">
        <w:rPr>
          <w:rFonts w:ascii="微软雅黑" w:eastAsia="微软雅黑" w:hAnsi="微软雅黑" w:cs="Arial" w:hint="eastAsia"/>
          <w:b/>
          <w:bCs/>
          <w:color w:val="333333"/>
          <w:sz w:val="24"/>
          <w:szCs w:val="24"/>
          <w:shd w:val="clear" w:color="auto" w:fill="FFFFFF"/>
        </w:rPr>
        <w:t>投资活动</w:t>
      </w:r>
    </w:p>
    <w:p w14:paraId="26D08097" w14:textId="39B7D071" w:rsidR="00E24930" w:rsidRPr="00D66C68" w:rsidRDefault="000020EF">
      <w:pPr>
        <w:rPr>
          <w:rFonts w:ascii="微软雅黑" w:eastAsia="微软雅黑" w:hAnsi="微软雅黑"/>
          <w:szCs w:val="21"/>
        </w:rPr>
      </w:pPr>
      <w:r w:rsidRPr="000020EF">
        <w:rPr>
          <w:rFonts w:ascii="微软雅黑" w:eastAsia="微软雅黑" w:hAnsi="微软雅黑" w:hint="eastAsia"/>
          <w:szCs w:val="21"/>
        </w:rPr>
        <w:t>投资活动</w:t>
      </w:r>
      <w:r w:rsidR="00E24930" w:rsidRPr="00D66C68">
        <w:rPr>
          <w:rFonts w:ascii="微软雅黑" w:eastAsia="微软雅黑" w:hAnsi="微软雅黑" w:hint="eastAsia"/>
          <w:szCs w:val="21"/>
        </w:rPr>
        <w:t>是指企业长期资产的购建和不包括在现金等价物内的投资及其处置活动。长期资产是指固定资产、在建工程、无形资产、其他资产和持有期限在</w:t>
      </w:r>
      <w:r w:rsidR="00E24930" w:rsidRPr="00D66C68">
        <w:rPr>
          <w:rFonts w:ascii="微软雅黑" w:eastAsia="微软雅黑" w:hAnsi="微软雅黑"/>
          <w:szCs w:val="21"/>
        </w:rPr>
        <w:t>1年或一个营业周期以上的资产。</w:t>
      </w:r>
      <w:r w:rsidR="00E24930" w:rsidRPr="00D66C68">
        <w:rPr>
          <w:rFonts w:ascii="微软雅黑" w:eastAsia="微软雅黑" w:hAnsi="微软雅黑" w:hint="eastAsia"/>
          <w:szCs w:val="21"/>
        </w:rPr>
        <w:t>比如购买机器设备1</w:t>
      </w:r>
      <w:r w:rsidR="00E24930" w:rsidRPr="00D66C68">
        <w:rPr>
          <w:rFonts w:ascii="微软雅黑" w:eastAsia="微软雅黑" w:hAnsi="微软雅黑"/>
          <w:szCs w:val="21"/>
        </w:rPr>
        <w:t>00</w:t>
      </w:r>
      <w:r w:rsidR="00E24930" w:rsidRPr="00D66C68">
        <w:rPr>
          <w:rFonts w:ascii="微软雅黑" w:eastAsia="微软雅黑" w:hAnsi="微软雅黑" w:hint="eastAsia"/>
          <w:szCs w:val="21"/>
        </w:rPr>
        <w:t>万，属于投资活动。</w:t>
      </w:r>
    </w:p>
    <w:p w14:paraId="3BFCB77D" w14:textId="77777777" w:rsidR="000020EF" w:rsidRDefault="00E24930">
      <w:pPr>
        <w:rPr>
          <w:rFonts w:ascii="微软雅黑" w:eastAsia="微软雅黑" w:hAnsi="微软雅黑" w:cs="Arial"/>
          <w:b/>
          <w:bCs/>
          <w:color w:val="333333"/>
          <w:sz w:val="24"/>
          <w:szCs w:val="24"/>
          <w:shd w:val="clear" w:color="auto" w:fill="FFFFFF"/>
        </w:rPr>
      </w:pPr>
      <w:r w:rsidRPr="00D66C68">
        <w:rPr>
          <w:rFonts w:ascii="微软雅黑" w:eastAsia="微软雅黑" w:hAnsi="微软雅黑" w:cs="Arial" w:hint="eastAsia"/>
          <w:b/>
          <w:bCs/>
          <w:color w:val="333333"/>
          <w:sz w:val="24"/>
          <w:szCs w:val="24"/>
          <w:shd w:val="clear" w:color="auto" w:fill="FFFFFF"/>
        </w:rPr>
        <w:t>筹资活动</w:t>
      </w:r>
    </w:p>
    <w:p w14:paraId="6042FE5F" w14:textId="1C025347" w:rsidR="00E24930" w:rsidRPr="00D66C68" w:rsidRDefault="000020EF">
      <w:pPr>
        <w:rPr>
          <w:rFonts w:ascii="微软雅黑" w:eastAsia="微软雅黑" w:hAnsi="微软雅黑"/>
          <w:szCs w:val="21"/>
        </w:rPr>
      </w:pPr>
      <w:r w:rsidRPr="000020EF">
        <w:rPr>
          <w:rFonts w:ascii="微软雅黑" w:eastAsia="微软雅黑" w:hAnsi="微软雅黑" w:hint="eastAsia"/>
          <w:szCs w:val="21"/>
        </w:rPr>
        <w:t>筹资活动</w:t>
      </w:r>
      <w:r w:rsidR="00E24930" w:rsidRPr="00D66C68">
        <w:rPr>
          <w:rFonts w:ascii="微软雅黑" w:eastAsia="微软雅黑" w:hAnsi="微软雅黑" w:hint="eastAsia"/>
          <w:szCs w:val="21"/>
        </w:rPr>
        <w:t>是指导致企业资本及债务规模和构成发生变化的活动，包括吸收投资、发行股票、分配利润、支付债权人的本金和利息以及融资租入资产所支付的现金，比如公司成立，股东投入1</w:t>
      </w:r>
      <w:r w:rsidR="00E24930" w:rsidRPr="00D66C68">
        <w:rPr>
          <w:rFonts w:ascii="微软雅黑" w:eastAsia="微软雅黑" w:hAnsi="微软雅黑"/>
          <w:szCs w:val="21"/>
        </w:rPr>
        <w:t>00</w:t>
      </w:r>
      <w:r w:rsidR="00E24930" w:rsidRPr="00D66C68">
        <w:rPr>
          <w:rFonts w:ascii="微软雅黑" w:eastAsia="微软雅黑" w:hAnsi="微软雅黑" w:hint="eastAsia"/>
          <w:szCs w:val="21"/>
        </w:rPr>
        <w:t>万，属于筹资活动。</w:t>
      </w:r>
    </w:p>
    <w:p w14:paraId="27BF40DC" w14:textId="77777777" w:rsidR="0065150F" w:rsidRPr="00D66C68" w:rsidRDefault="0065150F" w:rsidP="0065150F">
      <w:pPr>
        <w:rPr>
          <w:rFonts w:ascii="微软雅黑" w:eastAsia="微软雅黑" w:hAnsi="微软雅黑"/>
          <w:b/>
          <w:bCs/>
          <w:sz w:val="24"/>
          <w:szCs w:val="24"/>
        </w:rPr>
      </w:pPr>
      <w:r w:rsidRPr="00D66C68">
        <w:rPr>
          <w:rFonts w:ascii="微软雅黑" w:eastAsia="微软雅黑" w:hAnsi="微软雅黑" w:hint="eastAsia"/>
          <w:b/>
          <w:bCs/>
          <w:sz w:val="24"/>
          <w:szCs w:val="24"/>
        </w:rPr>
        <w:t>经营活动产生的现金流量净额</w:t>
      </w:r>
    </w:p>
    <w:p w14:paraId="6F27F3A3" w14:textId="77777777" w:rsidR="0065150F" w:rsidRPr="00D66C68" w:rsidRDefault="0065150F" w:rsidP="0065150F">
      <w:pPr>
        <w:rPr>
          <w:rFonts w:ascii="微软雅黑" w:eastAsia="微软雅黑" w:hAnsi="微软雅黑"/>
          <w:szCs w:val="21"/>
        </w:rPr>
      </w:pPr>
      <w:r w:rsidRPr="00D66C68">
        <w:rPr>
          <w:rFonts w:ascii="微软雅黑" w:eastAsia="微软雅黑" w:hAnsi="微软雅黑" w:hint="eastAsia"/>
          <w:szCs w:val="21"/>
        </w:rPr>
        <w:t>现金流量表第一项大活动的最终增减变动情况，如果此处为正说明该公司在当年经营活动是赚到现金的，如果为负说明公司经营一年，现金没赚反赔。经营活动有很多明细科目，通过字面意思完全可以理解，就是日常经营的活动。还可以理解为除了投资活动和筹资活动外其他的活动都在这里列示。如果一个公司这里为负（越干越没钱）往往意味着容易出现资金危机。</w:t>
      </w:r>
    </w:p>
    <w:p w14:paraId="6ABAAB80" w14:textId="77777777" w:rsidR="0065150F" w:rsidRPr="00D66C68" w:rsidRDefault="0065150F" w:rsidP="0065150F">
      <w:pPr>
        <w:rPr>
          <w:rFonts w:ascii="微软雅黑" w:eastAsia="微软雅黑" w:hAnsi="微软雅黑"/>
          <w:b/>
          <w:bCs/>
          <w:sz w:val="24"/>
          <w:szCs w:val="24"/>
        </w:rPr>
      </w:pPr>
      <w:r w:rsidRPr="00D66C68">
        <w:rPr>
          <w:rFonts w:ascii="微软雅黑" w:eastAsia="微软雅黑" w:hAnsi="微软雅黑" w:hint="eastAsia"/>
          <w:b/>
          <w:bCs/>
          <w:sz w:val="24"/>
          <w:szCs w:val="24"/>
        </w:rPr>
        <w:t>投资活动产生的现金流量净额</w:t>
      </w:r>
    </w:p>
    <w:p w14:paraId="16522DF0" w14:textId="77777777" w:rsidR="0065150F" w:rsidRPr="00D66C68" w:rsidRDefault="0065150F" w:rsidP="0065150F">
      <w:pPr>
        <w:rPr>
          <w:rFonts w:ascii="微软雅黑" w:eastAsia="微软雅黑" w:hAnsi="微软雅黑"/>
          <w:szCs w:val="21"/>
        </w:rPr>
      </w:pPr>
      <w:r w:rsidRPr="00D66C68">
        <w:rPr>
          <w:rFonts w:ascii="微软雅黑" w:eastAsia="微软雅黑" w:hAnsi="微软雅黑" w:hint="eastAsia"/>
          <w:szCs w:val="21"/>
        </w:rPr>
        <w:lastRenderedPageBreak/>
        <w:t>现金流量表第二大项活动最终本年增减变动情况，投资活动主要包括购买长期的资产支付的现金，比如说购买长期的固定资产（买房、买车、</w:t>
      </w:r>
      <w:proofErr w:type="gramStart"/>
      <w:r w:rsidRPr="00D66C68">
        <w:rPr>
          <w:rFonts w:ascii="微软雅黑" w:eastAsia="微软雅黑" w:hAnsi="微软雅黑" w:hint="eastAsia"/>
          <w:szCs w:val="21"/>
        </w:rPr>
        <w:t>买大型</w:t>
      </w:r>
      <w:proofErr w:type="gramEnd"/>
      <w:r w:rsidRPr="00D66C68">
        <w:rPr>
          <w:rFonts w:ascii="微软雅黑" w:eastAsia="微软雅黑" w:hAnsi="微软雅黑" w:hint="eastAsia"/>
          <w:szCs w:val="21"/>
        </w:rPr>
        <w:t>设备），买股票、买债券等，进行投资活动。这里如果数值为正说明本年卖的投资项目比买的投资项目金额大，数值为负说明本年买的投资项目比卖的数值大。如果一个公司这里长期为正说明公司在逐渐缩减规模（一支在</w:t>
      </w:r>
      <w:proofErr w:type="gramStart"/>
      <w:r w:rsidRPr="00D66C68">
        <w:rPr>
          <w:rFonts w:ascii="微软雅黑" w:eastAsia="微软雅黑" w:hAnsi="微软雅黑" w:hint="eastAsia"/>
          <w:szCs w:val="21"/>
        </w:rPr>
        <w:t>卖长期</w:t>
      </w:r>
      <w:proofErr w:type="gramEnd"/>
      <w:r w:rsidRPr="00D66C68">
        <w:rPr>
          <w:rFonts w:ascii="微软雅黑" w:eastAsia="微软雅黑" w:hAnsi="微软雅黑" w:hint="eastAsia"/>
          <w:szCs w:val="21"/>
        </w:rPr>
        <w:t>资产）。分析货币资金的时候如果理财产品变现就隐藏在投资活动收到的现金之中哦！</w:t>
      </w:r>
    </w:p>
    <w:p w14:paraId="69B8FAE5" w14:textId="77777777" w:rsidR="0065150F" w:rsidRPr="00D66C68" w:rsidRDefault="0065150F" w:rsidP="0065150F">
      <w:pPr>
        <w:rPr>
          <w:rFonts w:ascii="微软雅黑" w:eastAsia="微软雅黑" w:hAnsi="微软雅黑"/>
          <w:b/>
          <w:bCs/>
          <w:sz w:val="24"/>
          <w:szCs w:val="24"/>
        </w:rPr>
      </w:pPr>
      <w:r w:rsidRPr="00D66C68">
        <w:rPr>
          <w:rFonts w:ascii="微软雅黑" w:eastAsia="微软雅黑" w:hAnsi="微软雅黑" w:hint="eastAsia"/>
          <w:b/>
          <w:bCs/>
          <w:sz w:val="24"/>
          <w:szCs w:val="24"/>
        </w:rPr>
        <w:t>筹资活动产生的现金流量净额</w:t>
      </w:r>
    </w:p>
    <w:p w14:paraId="787E118F" w14:textId="77777777" w:rsidR="0065150F" w:rsidRPr="00D66C68" w:rsidRDefault="0065150F" w:rsidP="0065150F">
      <w:pPr>
        <w:rPr>
          <w:rFonts w:ascii="微软雅黑" w:eastAsia="微软雅黑" w:hAnsi="微软雅黑"/>
          <w:szCs w:val="21"/>
        </w:rPr>
      </w:pPr>
      <w:r w:rsidRPr="00D66C68">
        <w:rPr>
          <w:rFonts w:ascii="微软雅黑" w:eastAsia="微软雅黑" w:hAnsi="微软雅黑" w:hint="eastAsia"/>
          <w:szCs w:val="21"/>
        </w:rPr>
        <w:t>现金流量表的最后一项活动最终本年增减变动情况，筹资活动主要指接受股东投资，向银行贷款，向社会发行债券筹集资金。</w:t>
      </w:r>
      <w:proofErr w:type="gramStart"/>
      <w:r w:rsidRPr="00D66C68">
        <w:rPr>
          <w:rFonts w:ascii="微软雅黑" w:eastAsia="微软雅黑" w:hAnsi="微软雅黑" w:hint="eastAsia"/>
          <w:szCs w:val="21"/>
        </w:rPr>
        <w:t>借和还</w:t>
      </w:r>
      <w:proofErr w:type="gramEnd"/>
      <w:r w:rsidRPr="00D66C68">
        <w:rPr>
          <w:rFonts w:ascii="微软雅黑" w:eastAsia="微软雅黑" w:hAnsi="微软雅黑" w:hint="eastAsia"/>
          <w:szCs w:val="21"/>
        </w:rPr>
        <w:t>都在这个项目中反映，包括还本付息。这里金额为正说明借的比还的多，这里金额为负正好相反。这里如果长期为正说明企业每年都要依靠外力来进行经营，风险会增加，当某年收不到借款或投资款，那么容易面临偿债危机。</w:t>
      </w:r>
    </w:p>
    <w:p w14:paraId="25A4DB8D" w14:textId="77777777" w:rsidR="00D61BF2" w:rsidRPr="00D66C68" w:rsidRDefault="00D61BF2" w:rsidP="00972D24">
      <w:pPr>
        <w:rPr>
          <w:rFonts w:ascii="微软雅黑" w:eastAsia="微软雅黑" w:hAnsi="微软雅黑"/>
          <w:szCs w:val="21"/>
        </w:rPr>
      </w:pPr>
    </w:p>
    <w:p w14:paraId="6A949098" w14:textId="77777777" w:rsidR="000020EF" w:rsidRDefault="00972D24" w:rsidP="00972D24">
      <w:pPr>
        <w:rPr>
          <w:rFonts w:ascii="微软雅黑" w:eastAsia="微软雅黑" w:hAnsi="微软雅黑"/>
          <w:b/>
          <w:bCs/>
          <w:sz w:val="24"/>
          <w:szCs w:val="24"/>
        </w:rPr>
      </w:pPr>
      <w:r w:rsidRPr="00D66C68">
        <w:rPr>
          <w:rFonts w:ascii="微软雅黑" w:eastAsia="微软雅黑" w:hAnsi="微软雅黑" w:hint="eastAsia"/>
          <w:b/>
          <w:bCs/>
          <w:sz w:val="24"/>
          <w:szCs w:val="24"/>
        </w:rPr>
        <w:t>现金等价物</w:t>
      </w:r>
    </w:p>
    <w:p w14:paraId="0F755EAF" w14:textId="409F385A" w:rsidR="00972D24" w:rsidRPr="00D66C68" w:rsidRDefault="000020EF" w:rsidP="00972D24">
      <w:pPr>
        <w:rPr>
          <w:rFonts w:ascii="微软雅黑" w:eastAsia="微软雅黑" w:hAnsi="微软雅黑"/>
          <w:szCs w:val="21"/>
        </w:rPr>
      </w:pPr>
      <w:r w:rsidRPr="000020EF">
        <w:rPr>
          <w:rFonts w:ascii="微软雅黑" w:eastAsia="微软雅黑" w:hAnsi="微软雅黑" w:hint="eastAsia"/>
          <w:szCs w:val="21"/>
        </w:rPr>
        <w:t>现金等价物</w:t>
      </w:r>
      <w:r w:rsidR="00972D24" w:rsidRPr="00D66C68">
        <w:rPr>
          <w:rFonts w:ascii="微软雅黑" w:eastAsia="微软雅黑" w:hAnsi="微软雅黑" w:hint="eastAsia"/>
          <w:szCs w:val="21"/>
        </w:rPr>
        <w:t>是指企业持有的期限短，流动性强，易于转化为已知金额的现金、价值变动风险很小的投资。一般是指从购买之日起，</w:t>
      </w:r>
      <w:r w:rsidR="00972D24" w:rsidRPr="00D66C68">
        <w:rPr>
          <w:rFonts w:ascii="微软雅黑" w:eastAsia="微软雅黑" w:hAnsi="微软雅黑"/>
          <w:szCs w:val="21"/>
        </w:rPr>
        <w:t>3个月到期的债券投资。</w:t>
      </w:r>
    </w:p>
    <w:p w14:paraId="33921371" w14:textId="77777777" w:rsidR="00D61BF2" w:rsidRPr="00D66C68" w:rsidRDefault="00972D24" w:rsidP="00972D24">
      <w:pPr>
        <w:rPr>
          <w:rFonts w:ascii="微软雅黑" w:eastAsia="微软雅黑" w:hAnsi="微软雅黑"/>
          <w:szCs w:val="21"/>
        </w:rPr>
      </w:pPr>
      <w:r w:rsidRPr="00D66C68">
        <w:rPr>
          <w:rFonts w:ascii="微软雅黑" w:eastAsia="微软雅黑" w:hAnsi="微软雅黑" w:hint="eastAsia"/>
          <w:szCs w:val="21"/>
        </w:rPr>
        <w:t>一项投资被确认为现金等价物必须同时具备四个条件：期限短、流动性强、易于转换为已知金额现金、价值变动风险很小。其中，期限较短，一般是指从购买日起，三个月内到期。例如可在证券市场上流通的三个月内到期的短期债券投资等</w:t>
      </w:r>
    </w:p>
    <w:p w14:paraId="75D379EE" w14:textId="018348BC" w:rsidR="00E24930" w:rsidRDefault="00972D24" w:rsidP="00972D24">
      <w:pPr>
        <w:rPr>
          <w:rFonts w:ascii="微软雅黑" w:eastAsia="微软雅黑" w:hAnsi="微软雅黑"/>
          <w:szCs w:val="21"/>
        </w:rPr>
      </w:pPr>
      <w:r w:rsidRPr="00D66C68">
        <w:rPr>
          <w:rFonts w:ascii="微软雅黑" w:eastAsia="微软雅黑" w:hAnsi="微软雅黑" w:hint="eastAsia"/>
          <w:szCs w:val="21"/>
        </w:rPr>
        <w:t>。</w:t>
      </w:r>
    </w:p>
    <w:p w14:paraId="418AB660" w14:textId="77777777" w:rsidR="007A1835" w:rsidRPr="00D66C68" w:rsidRDefault="007A1835" w:rsidP="00972D24">
      <w:pPr>
        <w:rPr>
          <w:rFonts w:ascii="微软雅黑" w:eastAsia="微软雅黑" w:hAnsi="微软雅黑" w:hint="eastAsia"/>
          <w:szCs w:val="21"/>
        </w:rPr>
      </w:pPr>
      <w:bookmarkStart w:id="0" w:name="_GoBack"/>
      <w:bookmarkEnd w:id="0"/>
    </w:p>
    <w:sectPr w:rsidR="007A1835" w:rsidRPr="00D66C68">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C15AA" w14:textId="77777777" w:rsidR="00AD545E" w:rsidRDefault="00AD545E" w:rsidP="00C11E06">
      <w:r>
        <w:separator/>
      </w:r>
    </w:p>
  </w:endnote>
  <w:endnote w:type="continuationSeparator" w:id="0">
    <w:p w14:paraId="4073EE2D" w14:textId="77777777" w:rsidR="00AD545E" w:rsidRDefault="00AD545E" w:rsidP="00C11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659D3" w14:textId="77777777" w:rsidR="00AD545E" w:rsidRDefault="00AD545E" w:rsidP="00C11E06">
      <w:r>
        <w:separator/>
      </w:r>
    </w:p>
  </w:footnote>
  <w:footnote w:type="continuationSeparator" w:id="0">
    <w:p w14:paraId="7873B67A" w14:textId="77777777" w:rsidR="00AD545E" w:rsidRDefault="00AD545E" w:rsidP="00C11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32571" w14:textId="77777777" w:rsidR="00C11E06" w:rsidRDefault="00C11E06" w:rsidP="00C11E06">
    <w:pPr>
      <w:tabs>
        <w:tab w:val="left" w:pos="9363"/>
      </w:tabs>
      <w:jc w:val="left"/>
      <w:rPr>
        <w:rFonts w:ascii="微软雅黑" w:eastAsia="微软雅黑" w:hAnsi="微软雅黑" w:cs="微软雅黑"/>
        <w:szCs w:val="21"/>
      </w:rPr>
    </w:pPr>
    <w:bookmarkStart w:id="1" w:name="_Hlk36448142"/>
    <w:bookmarkStart w:id="2" w:name="_Hlk36448143"/>
    <w:r>
      <w:rPr>
        <w:rFonts w:ascii="微软雅黑" w:eastAsia="微软雅黑" w:hAnsi="微软雅黑" w:cs="微软雅黑" w:hint="eastAsia"/>
        <w:noProof/>
        <w:sz w:val="24"/>
      </w:rPr>
      <w:drawing>
        <wp:inline distT="0" distB="0" distL="114300" distR="114300" wp14:anchorId="6E2680C2" wp14:editId="562685CA">
          <wp:extent cx="1200785" cy="445770"/>
          <wp:effectExtent l="0" t="0" r="18415" b="11430"/>
          <wp:docPr id="2" name="图片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new"/>
                  <pic:cNvPicPr>
                    <a:picLocks noChangeAspect="1"/>
                  </pic:cNvPicPr>
                </pic:nvPicPr>
                <pic:blipFill>
                  <a:blip r:embed="rId1"/>
                  <a:stretch>
                    <a:fillRect/>
                  </a:stretch>
                </pic:blipFill>
                <pic:spPr>
                  <a:xfrm>
                    <a:off x="0" y="0"/>
                    <a:ext cx="1200785" cy="445770"/>
                  </a:xfrm>
                  <a:prstGeom prst="rect">
                    <a:avLst/>
                  </a:prstGeom>
                </pic:spPr>
              </pic:pic>
            </a:graphicData>
          </a:graphic>
        </wp:inline>
      </w:drawing>
    </w:r>
    <w:r>
      <w:rPr>
        <w:rFonts w:ascii="微软雅黑" w:eastAsia="微软雅黑" w:hAnsi="微软雅黑" w:cs="微软雅黑" w:hint="eastAsia"/>
        <w:sz w:val="24"/>
        <w:szCs w:val="24"/>
      </w:rPr>
      <w:t xml:space="preserve">                          </w:t>
    </w:r>
    <w:r>
      <w:rPr>
        <w:rFonts w:ascii="微软雅黑" w:eastAsia="微软雅黑" w:hAnsi="微软雅黑" w:cs="微软雅黑" w:hint="eastAsia"/>
        <w:szCs w:val="21"/>
      </w:rPr>
      <w:t>中国第一所互联网财务自由商学院</w:t>
    </w:r>
  </w:p>
  <w:p w14:paraId="06B85C1F" w14:textId="6BF09003" w:rsidR="00C11E06" w:rsidRPr="00C11E06" w:rsidRDefault="00C11E06" w:rsidP="00C11E06">
    <w:pPr>
      <w:tabs>
        <w:tab w:val="left" w:pos="9363"/>
      </w:tabs>
      <w:jc w:val="left"/>
      <w:rPr>
        <w:rFonts w:ascii="微软雅黑" w:eastAsia="微软雅黑" w:hAnsi="微软雅黑" w:cs="微软雅黑" w:hint="eastAsia"/>
        <w:sz w:val="24"/>
      </w:rPr>
    </w:pPr>
    <w:r>
      <w:rPr>
        <w:rFonts w:ascii="微软雅黑" w:eastAsia="微软雅黑" w:hAnsi="微软雅黑" w:cs="微软雅黑" w:hint="eastAsia"/>
        <w:sz w:val="24"/>
        <w:szCs w:val="24"/>
      </w:rPr>
      <w:t>-------------------------------------------------------------------------------</w:t>
    </w:r>
    <w:bookmarkEnd w:id="1"/>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30"/>
    <w:rsid w:val="000020EF"/>
    <w:rsid w:val="00337E72"/>
    <w:rsid w:val="00534A90"/>
    <w:rsid w:val="0065150F"/>
    <w:rsid w:val="007A1835"/>
    <w:rsid w:val="00972D24"/>
    <w:rsid w:val="009B613E"/>
    <w:rsid w:val="00AD545E"/>
    <w:rsid w:val="00C11E06"/>
    <w:rsid w:val="00D61BF2"/>
    <w:rsid w:val="00D66C68"/>
    <w:rsid w:val="00E24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BF98D"/>
  <w15:chartTrackingRefBased/>
  <w15:docId w15:val="{AA766BA2-9810-42ED-B37C-1AAB7090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E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E06"/>
    <w:rPr>
      <w:sz w:val="18"/>
      <w:szCs w:val="18"/>
    </w:rPr>
  </w:style>
  <w:style w:type="paragraph" w:styleId="a5">
    <w:name w:val="footer"/>
    <w:basedOn w:val="a"/>
    <w:link w:val="a6"/>
    <w:uiPriority w:val="99"/>
    <w:unhideWhenUsed/>
    <w:rsid w:val="00C11E06"/>
    <w:pPr>
      <w:tabs>
        <w:tab w:val="center" w:pos="4153"/>
        <w:tab w:val="right" w:pos="8306"/>
      </w:tabs>
      <w:snapToGrid w:val="0"/>
      <w:jc w:val="left"/>
    </w:pPr>
    <w:rPr>
      <w:sz w:val="18"/>
      <w:szCs w:val="18"/>
    </w:rPr>
  </w:style>
  <w:style w:type="character" w:customStyle="1" w:styleId="a6">
    <w:name w:val="页脚 字符"/>
    <w:basedOn w:val="a0"/>
    <w:link w:val="a5"/>
    <w:uiPriority w:val="99"/>
    <w:rsid w:val="00C11E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39634">
      <w:bodyDiv w:val="1"/>
      <w:marLeft w:val="0"/>
      <w:marRight w:val="0"/>
      <w:marTop w:val="0"/>
      <w:marBottom w:val="0"/>
      <w:divBdr>
        <w:top w:val="none" w:sz="0" w:space="0" w:color="auto"/>
        <w:left w:val="none" w:sz="0" w:space="0" w:color="auto"/>
        <w:bottom w:val="none" w:sz="0" w:space="0" w:color="auto"/>
        <w:right w:val="none" w:sz="0" w:space="0" w:color="auto"/>
      </w:divBdr>
    </w:div>
    <w:div w:id="11865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晓昌</dc:creator>
  <cp:keywords/>
  <dc:description/>
  <cp:lastModifiedBy>王 晓昌</cp:lastModifiedBy>
  <cp:revision>9</cp:revision>
  <dcterms:created xsi:type="dcterms:W3CDTF">2020-03-29T08:27:00Z</dcterms:created>
  <dcterms:modified xsi:type="dcterms:W3CDTF">2020-03-30T00:55:00Z</dcterms:modified>
</cp:coreProperties>
</file>