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338" w:lineRule="exact"/>
        <w:ind w:left="3515" w:right="3495"/>
        <w:jc w:val="center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position w:val="-2"/>
          <w:sz w:val="24"/>
          <w:szCs w:val="24"/>
        </w:rPr>
        <w:t>玩转案例分析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第一步：查看年报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首先我们打开美国证监会官网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381" w:lineRule="exact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fldChar w:fldCharType="begin"/>
      </w:r>
      <w:r>
        <w:instrText xml:space="preserve"> HYPERLINK "https://www.sec.gov/edgar/searchedgar/companysearch.html" \h </w:instrText>
      </w:r>
      <w:r>
        <w:fldChar w:fldCharType="separate"/>
      </w:r>
      <w:r>
        <w:rPr>
          <w:rFonts w:ascii="Microsoft YaHei UI" w:hAnsi="Microsoft YaHei UI" w:eastAsia="Microsoft YaHei UI" w:cs="Microsoft YaHei UI"/>
          <w:color w:val="0462C1"/>
          <w:spacing w:val="1"/>
          <w:w w:val="100"/>
          <w:position w:val="-3"/>
          <w:sz w:val="24"/>
          <w:szCs w:val="24"/>
          <w:u w:val="single" w:color="0462C1"/>
        </w:rPr>
        <w:t>h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t</w:t>
      </w:r>
      <w:r>
        <w:rPr>
          <w:rFonts w:ascii="Microsoft YaHei UI" w:hAnsi="Microsoft YaHei UI" w:eastAsia="Microsoft YaHei UI" w:cs="Microsoft YaHei UI"/>
          <w:color w:val="0462C1"/>
          <w:spacing w:val="-1"/>
          <w:w w:val="100"/>
          <w:position w:val="-3"/>
          <w:sz w:val="24"/>
          <w:szCs w:val="24"/>
          <w:u w:val="single" w:color="0462C1"/>
        </w:rPr>
        <w:t>t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ps://ww</w:t>
      </w:r>
      <w:r>
        <w:rPr>
          <w:rFonts w:ascii="Microsoft YaHei UI" w:hAnsi="Microsoft YaHei UI" w:eastAsia="Microsoft YaHei UI" w:cs="Microsoft YaHei UI"/>
          <w:color w:val="0462C1"/>
          <w:spacing w:val="-12"/>
          <w:w w:val="100"/>
          <w:position w:val="-3"/>
          <w:sz w:val="24"/>
          <w:szCs w:val="24"/>
          <w:u w:val="single" w:color="0462C1"/>
        </w:rPr>
        <w:t>w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.</w:t>
      </w:r>
      <w:r>
        <w:rPr>
          <w:rFonts w:ascii="Microsoft YaHei UI" w:hAnsi="Microsoft YaHei UI" w:eastAsia="Microsoft YaHei UI" w:cs="Microsoft YaHei UI"/>
          <w:color w:val="0462C1"/>
          <w:spacing w:val="-1"/>
          <w:w w:val="100"/>
          <w:position w:val="-3"/>
          <w:sz w:val="24"/>
          <w:szCs w:val="24"/>
          <w:u w:val="single" w:color="0462C1"/>
        </w:rPr>
        <w:t>s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ec.gov</w:t>
      </w:r>
      <w:r>
        <w:rPr>
          <w:rFonts w:ascii="Microsoft YaHei UI" w:hAnsi="Microsoft YaHei UI" w:eastAsia="Microsoft YaHei UI" w:cs="Microsoft YaHei UI"/>
          <w:color w:val="0462C1"/>
          <w:spacing w:val="-2"/>
          <w:w w:val="100"/>
          <w:position w:val="-3"/>
          <w:sz w:val="24"/>
          <w:szCs w:val="24"/>
          <w:u w:val="single" w:color="0462C1"/>
        </w:rPr>
        <w:t>/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edga</w:t>
      </w:r>
      <w:r>
        <w:rPr>
          <w:rFonts w:ascii="Microsoft YaHei UI" w:hAnsi="Microsoft YaHei UI" w:eastAsia="Microsoft YaHei UI" w:cs="Microsoft YaHei UI"/>
          <w:color w:val="0462C1"/>
          <w:spacing w:val="-1"/>
          <w:w w:val="100"/>
          <w:position w:val="-3"/>
          <w:sz w:val="24"/>
          <w:szCs w:val="24"/>
          <w:u w:val="single" w:color="0462C1"/>
        </w:rPr>
        <w:t>r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/sea</w:t>
      </w:r>
      <w:r>
        <w:rPr>
          <w:rFonts w:ascii="Microsoft YaHei UI" w:hAnsi="Microsoft YaHei UI" w:eastAsia="Microsoft YaHei UI" w:cs="Microsoft YaHei UI"/>
          <w:color w:val="0462C1"/>
          <w:spacing w:val="-4"/>
          <w:w w:val="100"/>
          <w:position w:val="-3"/>
          <w:sz w:val="24"/>
          <w:szCs w:val="24"/>
          <w:u w:val="single" w:color="0462C1"/>
        </w:rPr>
        <w:t>r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chedga</w:t>
      </w:r>
      <w:r>
        <w:rPr>
          <w:rFonts w:ascii="Microsoft YaHei UI" w:hAnsi="Microsoft YaHei UI" w:eastAsia="Microsoft YaHei UI" w:cs="Microsoft YaHei UI"/>
          <w:color w:val="0462C1"/>
          <w:spacing w:val="-1"/>
          <w:w w:val="100"/>
          <w:position w:val="-3"/>
          <w:sz w:val="24"/>
          <w:szCs w:val="24"/>
          <w:u w:val="single" w:color="0462C1"/>
        </w:rPr>
        <w:t>r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/c</w:t>
      </w:r>
      <w:r>
        <w:rPr>
          <w:rFonts w:ascii="Microsoft YaHei UI" w:hAnsi="Microsoft YaHei UI" w:eastAsia="Microsoft YaHei UI" w:cs="Microsoft YaHei UI"/>
          <w:color w:val="0462C1"/>
          <w:spacing w:val="1"/>
          <w:w w:val="100"/>
          <w:position w:val="-3"/>
          <w:sz w:val="24"/>
          <w:szCs w:val="24"/>
          <w:u w:val="single" w:color="0462C1"/>
        </w:rPr>
        <w:t>o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m</w:t>
      </w:r>
      <w:r>
        <w:rPr>
          <w:rFonts w:ascii="Microsoft YaHei UI" w:hAnsi="Microsoft YaHei UI" w:eastAsia="Microsoft YaHei UI" w:cs="Microsoft YaHei UI"/>
          <w:color w:val="0462C1"/>
          <w:spacing w:val="-2"/>
          <w:w w:val="100"/>
          <w:position w:val="-3"/>
          <w:sz w:val="24"/>
          <w:szCs w:val="24"/>
          <w:u w:val="single" w:color="0462C1"/>
        </w:rPr>
        <w:t>p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anysea</w:t>
      </w:r>
      <w:r>
        <w:rPr>
          <w:rFonts w:ascii="Microsoft YaHei UI" w:hAnsi="Microsoft YaHei UI" w:eastAsia="Microsoft YaHei UI" w:cs="Microsoft YaHei UI"/>
          <w:color w:val="0462C1"/>
          <w:spacing w:val="-3"/>
          <w:w w:val="100"/>
          <w:position w:val="-3"/>
          <w:sz w:val="24"/>
          <w:szCs w:val="24"/>
          <w:u w:val="single" w:color="0462C1"/>
        </w:rPr>
        <w:t>rc</w:t>
      </w:r>
      <w:r>
        <w:rPr>
          <w:rFonts w:ascii="Microsoft YaHei UI" w:hAnsi="Microsoft YaHei UI" w:eastAsia="Microsoft YaHei UI" w:cs="Microsoft YaHei UI"/>
          <w:color w:val="0462C1"/>
          <w:spacing w:val="1"/>
          <w:w w:val="100"/>
          <w:position w:val="-3"/>
          <w:sz w:val="24"/>
          <w:szCs w:val="24"/>
          <w:u w:val="single" w:color="0462C1"/>
        </w:rPr>
        <w:t>h</w:t>
      </w:r>
      <w:r>
        <w:rPr>
          <w:rFonts w:ascii="Microsoft YaHei UI" w:hAnsi="Microsoft YaHei UI" w:eastAsia="Microsoft YaHei UI" w:cs="Microsoft YaHei UI"/>
          <w:color w:val="0462C1"/>
          <w:spacing w:val="0"/>
          <w:w w:val="100"/>
          <w:position w:val="-3"/>
          <w:sz w:val="24"/>
          <w:szCs w:val="24"/>
          <w:u w:val="single" w:color="0462C1"/>
        </w:rPr>
        <w:t>.html</w:t>
      </w:r>
      <w:r>
        <w:rPr>
          <w:rFonts w:ascii="Microsoft YaHei UI" w:hAnsi="Microsoft YaHei UI" w:eastAsia="Microsoft YaHei UI" w:cs="Microsoft YaHei UI"/>
          <w:color w:val="000000"/>
          <w:spacing w:val="0"/>
          <w:w w:val="100"/>
          <w:position w:val="0"/>
          <w:sz w:val="24"/>
          <w:szCs w:val="24"/>
        </w:rPr>
        <w:fldChar w:fldCharType="end"/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我们搜索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170.25pt;width:414.75pt;" filled="f" coordsize="21600,21600">
            <v:path/>
            <v:fill on="f" focussize="0,0"/>
            <v:stroke/>
            <v:imagedata r:id="rId4" o:title=""/>
            <o:lock v:ext="edit" aspectratio="t"/>
            <w10:wrap type="none"/>
            <w10:anchorlock/>
          </v:shape>
        </w:pict>
      </w:r>
    </w:p>
    <w:p>
      <w:pPr>
        <w:spacing w:before="96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然后输入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10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-K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，搜索年报</w:t>
      </w:r>
    </w:p>
    <w:p>
      <w:pPr>
        <w:spacing w:before="1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6" o:spt="75" type="#_x0000_t75" style="height:183.95pt;width:415.05pt;" filled="f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</w:pict>
      </w:r>
    </w:p>
    <w:p>
      <w:pPr>
        <w:spacing w:before="5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我们以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年的年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报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举例，点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Doc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u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me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n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ts</w:t>
      </w:r>
    </w:p>
    <w:p>
      <w:pPr>
        <w:spacing w:after="0"/>
        <w:jc w:val="left"/>
        <w:sectPr>
          <w:type w:val="continuous"/>
          <w:pgSz w:w="11920" w:h="16840"/>
          <w:pgMar w:top="1540" w:right="1680" w:bottom="280" w:left="1680" w:header="720" w:footer="720" w:gutter="0"/>
        </w:sectPr>
      </w:pPr>
    </w:p>
    <w:p>
      <w:pPr>
        <w:spacing w:before="95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7" o:spt="75" type="#_x0000_t75" style="height:186.8pt;width:415.25pt;" filled="f" coordsize="21600,21600">
            <v:path/>
            <v:fill on="f" focussize="0,0"/>
            <v:stroke/>
            <v:imagedata r:id="rId6" o:title=""/>
            <o:lock v:ext="edit" aspectratio="t"/>
            <w10:wrap type="none"/>
            <w10:anchorlock/>
          </v:shape>
        </w:pic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4592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我们选择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10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K</w:t>
      </w:r>
      <w:r>
        <w:rPr>
          <w:rFonts w:ascii="Microsoft YaHei UI" w:hAnsi="Microsoft YaHei UI" w:eastAsia="Microsoft YaHei UI" w:cs="Microsoft YaHei UI"/>
          <w:spacing w:val="-1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文件，然后打开链接</w:t>
      </w:r>
    </w:p>
    <w:p>
      <w:pPr>
        <w:spacing w:before="10" w:after="0" w:line="150" w:lineRule="exact"/>
        <w:jc w:val="left"/>
        <w:rPr>
          <w:sz w:val="15"/>
          <w:szCs w:val="15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8" o:spt="75" type="#_x0000_t75" style="height:170.6pt;width:415.25pt;" filled="f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</w:pict>
      </w:r>
    </w:p>
    <w:p>
      <w:pPr>
        <w:spacing w:before="89" w:after="0" w:line="379" w:lineRule="auto"/>
        <w:ind w:left="120" w:right="38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我们进来之后就可以看到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的年报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们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要把网页往下翻页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等待谷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翻译 器把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年报全部翻译成中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>文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（翻译可以在扩展中心下载谷歌翻译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视频里有 详细讲解</w:t>
      </w:r>
      <w:r>
        <w:rPr>
          <w:rFonts w:ascii="Microsoft YaHei UI" w:hAnsi="Microsoft YaHei UI" w:eastAsia="Microsoft YaHei UI" w:cs="Microsoft YaHei UI"/>
          <w:spacing w:val="-120"/>
          <w:w w:val="100"/>
          <w:sz w:val="24"/>
          <w:szCs w:val="24"/>
        </w:rPr>
        <w:t>）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。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89" w:after="0" w:line="379" w:lineRule="auto"/>
        <w:ind w:left="120" w:right="38"/>
        <w:jc w:val="both"/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在这里给大家再分享一下中文版的美股年报的下载方法：</w:t>
      </w:r>
    </w:p>
    <w:p>
      <w:pPr>
        <w:numPr>
          <w:ilvl w:val="0"/>
          <w:numId w:val="1"/>
        </w:numPr>
        <w:spacing w:before="89" w:after="0" w:line="379" w:lineRule="auto"/>
        <w:ind w:left="120" w:right="38"/>
        <w:jc w:val="both"/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同学们先根据视频课的方法利用360极速浏览器（安装好谷歌翻译插件）进入到美股年报在线观看页面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1"/>
        </w:numPr>
        <w:spacing w:before="89" w:after="0" w:line="379" w:lineRule="auto"/>
        <w:ind w:left="120" w:right="38"/>
        <w:jc w:val="both"/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在线观看时，把所有页面往下拉看一遍，让它全部翻译完毕，一定要全部翻译完毕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（每页都要翻译完毕）</w:t>
      </w:r>
      <w:r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，翻译完毕后通过按键 CTRL+P,会出现打印界面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1"/>
        </w:numPr>
        <w:spacing w:before="89" w:after="0" w:line="379" w:lineRule="auto"/>
        <w:ind w:left="120" w:right="38"/>
        <w:jc w:val="both"/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在打印界面，等待电脑预览加载完毕，完毕后点击页面左侧“更改”，然后选择“另存为PDF”，再点击保存，就可以把PDF版的年报保存到电脑上了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before="89" w:after="0" w:line="379" w:lineRule="auto"/>
        <w:ind w:right="38" w:rightChars="0"/>
        <w:jc w:val="both"/>
        <w:rPr>
          <w:rFonts w:hint="default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提示：同学们可以试试这个方法，这个方法对电脑配置可能会有一些要求，就是电脑的内存要高一些，否则到了打印预览界面可能会出现页面崩溃的现象！</w:t>
      </w:r>
    </w:p>
    <w:p>
      <w:pPr>
        <w:spacing w:before="17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120" w:right="5730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第二步：分析资产负债表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2407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把合并资产负债表各个科目看一遍，标记异常科目。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48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我们先看下目录，找到财务报表，大概在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-1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页</w:t>
      </w:r>
    </w:p>
    <w:p>
      <w:pPr>
        <w:spacing w:after="0"/>
        <w:jc w:val="left"/>
        <w:sectPr>
          <w:pgSz w:w="11920" w:h="16840"/>
          <w:pgMar w:top="1480" w:right="1680" w:bottom="280" w:left="1680" w:header="720" w:footer="720" w:gutter="0"/>
        </w:sectPr>
      </w:pPr>
    </w:p>
    <w:p>
      <w:pPr>
        <w:spacing w:before="95" w:after="0" w:line="240" w:lineRule="auto"/>
        <w:ind w:left="48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9" o:spt="75" type="#_x0000_t75" style="height:192.6pt;width:414.75pt;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</w:pict>
      </w:r>
    </w:p>
    <w:p>
      <w:pPr>
        <w:spacing w:before="3" w:after="0" w:line="150" w:lineRule="exact"/>
        <w:jc w:val="left"/>
        <w:rPr>
          <w:sz w:val="15"/>
          <w:szCs w:val="15"/>
        </w:rPr>
      </w:pPr>
    </w:p>
    <w:p>
      <w:pPr>
        <w:spacing w:before="0" w:after="0" w:line="240" w:lineRule="auto"/>
        <w:ind w:left="48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0" o:spt="75" type="#_x0000_t75" style="height:182.85pt;width:415.25pt;" filled="f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313" w:lineRule="exact"/>
        <w:ind w:left="48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我们发现递延所得税负债净额从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72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9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亿大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幅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降低到</w:t>
      </w:r>
      <w:r>
        <w:rPr>
          <w:rFonts w:ascii="Microsoft YaHei UI" w:hAnsi="Microsoft YaHei UI" w:eastAsia="Microsoft YaHei UI" w:cs="Microsoft YaHei UI"/>
          <w:spacing w:val="-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48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6</w:t>
      </w:r>
      <w:r>
        <w:rPr>
          <w:rFonts w:ascii="Microsoft YaHei UI" w:hAnsi="Microsoft YaHei UI" w:eastAsia="Microsoft YaHei UI" w:cs="Microsoft YaHei UI"/>
          <w:spacing w:val="-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亿，这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是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什么原因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379" w:lineRule="auto"/>
        <w:ind w:left="480" w:right="379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呢？我们往下看可以在补充数据里找到所得</w:t>
      </w:r>
      <w:r>
        <w:rPr>
          <w:rFonts w:ascii="Microsoft YaHei UI" w:hAnsi="Microsoft YaHei UI" w:eastAsia="Microsoft YaHei UI" w:cs="Microsoft YaHei UI"/>
          <w:spacing w:val="-12"/>
          <w:w w:val="100"/>
          <w:sz w:val="24"/>
          <w:szCs w:val="24"/>
        </w:rPr>
        <w:t>税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（或者可以按住</w:t>
      </w:r>
      <w:r>
        <w:rPr>
          <w:rFonts w:ascii="Microsoft YaHei UI" w:hAnsi="Microsoft YaHei UI" w:eastAsia="Microsoft YaHei UI" w:cs="Microsoft YaHei UI"/>
          <w:spacing w:val="-9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Ct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r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l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+F</w:t>
      </w:r>
      <w:r>
        <w:rPr>
          <w:rFonts w:ascii="Microsoft YaHei UI" w:hAnsi="Microsoft YaHei UI" w:eastAsia="Microsoft YaHei UI" w:cs="Microsoft YaHei UI"/>
          <w:spacing w:val="-12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搜索 所得税）</w:t>
      </w:r>
    </w:p>
    <w:p>
      <w:pPr>
        <w:spacing w:before="42" w:after="0" w:line="240" w:lineRule="auto"/>
        <w:ind w:left="48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1" o:spt="75" type="#_x0000_t75" style="height:164.15pt;width:414.4pt;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/>
        <w:jc w:val="left"/>
        <w:sectPr>
          <w:pgSz w:w="11920" w:h="16840"/>
          <w:pgMar w:top="1420" w:right="1340" w:bottom="280" w:left="1680" w:header="720" w:footer="720" w:gutter="0"/>
        </w:sectPr>
      </w:pPr>
    </w:p>
    <w:p>
      <w:pPr>
        <w:spacing w:before="0" w:after="0" w:line="351" w:lineRule="exact"/>
        <w:ind w:left="480" w:right="2830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position w:val="-1"/>
          <w:sz w:val="24"/>
          <w:szCs w:val="24"/>
        </w:rPr>
        <w:t>我们看到这是由于新税法颁布税率降低，这是好事情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看总资产，判断公司实力及扩张能力。</w:t>
      </w:r>
    </w:p>
    <w:p>
      <w:pPr>
        <w:spacing w:before="4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48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2" o:spt="75" type="#_x0000_t75" style="height:90.35pt;width:413.95pt;" filled="f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</w:pict>
      </w:r>
    </w:p>
    <w:p>
      <w:pPr>
        <w:spacing w:before="1" w:after="0" w:line="110" w:lineRule="exact"/>
        <w:jc w:val="left"/>
        <w:rPr>
          <w:sz w:val="11"/>
          <w:szCs w:val="11"/>
        </w:rPr>
      </w:pPr>
    </w:p>
    <w:p>
      <w:pPr>
        <w:spacing w:before="0" w:after="0" w:line="379" w:lineRule="auto"/>
        <w:ind w:left="480" w:right="379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ME201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的总资产高达</w:t>
      </w:r>
      <w:r>
        <w:rPr>
          <w:rFonts w:ascii="Microsoft YaHei UI" w:hAnsi="Microsoft YaHei UI" w:eastAsia="Microsoft YaHei UI" w:cs="Microsoft YaHei UI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757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.9</w:t>
      </w:r>
      <w:r>
        <w:rPr>
          <w:rFonts w:ascii="Microsoft YaHei UI" w:hAnsi="Microsoft YaHei UI" w:eastAsia="Microsoft YaHei UI" w:cs="Microsoft YaHei UI"/>
          <w:spacing w:val="-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美元，并且相较于</w:t>
      </w:r>
      <w:r>
        <w:rPr>
          <w:rFonts w:ascii="Microsoft YaHei UI" w:hAnsi="Microsoft YaHei UI" w:eastAsia="Microsoft YaHei UI" w:cs="Microsoft YaHei UI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6</w:t>
      </w:r>
      <w:r>
        <w:rPr>
          <w:rFonts w:ascii="Microsoft YaHei UI" w:hAnsi="Microsoft YaHei UI" w:eastAsia="Microsoft YaHei UI" w:cs="Microsoft YaHei UI"/>
          <w:spacing w:val="-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年的 总资产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693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.7</w:t>
      </w:r>
      <w:r>
        <w:rPr>
          <w:rFonts w:ascii="Microsoft YaHei UI" w:hAnsi="Microsoft YaHei UI" w:eastAsia="Microsoft YaHei UI" w:cs="Microsoft YaHei UI"/>
          <w:spacing w:val="-9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亿美元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还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增长了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9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</w:t>
      </w:r>
      <w:r>
        <w:rPr>
          <w:rFonts w:ascii="Microsoft YaHei UI" w:hAnsi="Microsoft YaHei UI" w:eastAsia="Microsoft YaHei UI" w:cs="Microsoft YaHei UI"/>
          <w:spacing w:val="-48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说明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8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不仅实力强</w:t>
      </w:r>
      <w:r>
        <w:rPr>
          <w:rFonts w:ascii="Microsoft YaHei UI" w:hAnsi="Microsoft YaHei UI" w:eastAsia="Microsoft YaHei UI" w:cs="Microsoft YaHei UI"/>
          <w:spacing w:val="-48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而且依然有一定 的扩张能力。</w:t>
      </w:r>
    </w:p>
    <w:p>
      <w:pPr>
        <w:spacing w:before="52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、看资产负债率，判断公司的债务风险。</w:t>
      </w:r>
    </w:p>
    <w:p>
      <w:pPr>
        <w:spacing w:before="2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3" o:spt="75" type="#_x0000_t75" style="height:15.1pt;width:413.1pt;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</w:pict>
      </w:r>
    </w:p>
    <w:p>
      <w:pPr>
        <w:spacing w:before="82" w:after="0" w:line="379" w:lineRule="auto"/>
        <w:ind w:left="120" w:right="376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我们可以计算出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和</w:t>
      </w:r>
      <w:r>
        <w:rPr>
          <w:rFonts w:ascii="Microsoft YaHei UI" w:hAnsi="Microsoft YaHei UI" w:eastAsia="Microsoft YaHei UI" w:cs="Microsoft YaHei UI"/>
          <w:spacing w:val="-1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6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两年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资产负债率分别为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：7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%和</w:t>
      </w:r>
      <w:r>
        <w:rPr>
          <w:rFonts w:ascii="Microsoft YaHei UI" w:hAnsi="Microsoft YaHei UI" w:eastAsia="Microsoft YaHei UI" w:cs="Microsoft YaHei UI"/>
          <w:spacing w:val="-1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71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%。 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的资产负债率大于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60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%，偿债风险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比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较大。我们具体看一下 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的偿债 风险。</w:t>
      </w:r>
    </w:p>
    <w:p>
      <w:pPr>
        <w:spacing w:before="52" w:after="0" w:line="379" w:lineRule="auto"/>
        <w:ind w:left="120" w:right="38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 xml:space="preserve">看有息负债和货币资金，排除偿债风险。 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有息负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债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总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额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＝短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期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借</w:t>
      </w:r>
      <w:r>
        <w:rPr>
          <w:rFonts w:ascii="Microsoft YaHei UI" w:hAnsi="Microsoft YaHei UI" w:eastAsia="Microsoft YaHei UI" w:cs="Microsoft YaHei UI"/>
          <w:color w:val="2D2D2D"/>
          <w:spacing w:val="10"/>
          <w:w w:val="100"/>
          <w:sz w:val="24"/>
          <w:szCs w:val="24"/>
        </w:rPr>
        <w:t>款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+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应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付利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息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＋一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内到期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非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流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动负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债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＋长期</w:t>
      </w:r>
      <w:r>
        <w:rPr>
          <w:rFonts w:ascii="Microsoft YaHei UI" w:hAnsi="Microsoft YaHei UI" w:eastAsia="Microsoft YaHei UI" w:cs="Microsoft YaHei UI"/>
          <w:color w:val="2D2D2D"/>
          <w:spacing w:val="5"/>
          <w:w w:val="100"/>
          <w:sz w:val="24"/>
          <w:szCs w:val="24"/>
        </w:rPr>
        <w:t>借</w:t>
      </w:r>
      <w:r>
        <w:rPr>
          <w:rFonts w:ascii="Microsoft YaHei UI" w:hAnsi="Microsoft YaHei UI" w:eastAsia="Microsoft YaHei UI" w:cs="Microsoft YaHei UI"/>
          <w:color w:val="2D2D2D"/>
          <w:spacing w:val="7"/>
          <w:w w:val="100"/>
          <w:sz w:val="24"/>
          <w:szCs w:val="24"/>
        </w:rPr>
        <w:t>款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＋ 应付债券＋长期应付款。</w:t>
      </w:r>
    </w:p>
    <w:p>
      <w:pPr>
        <w:spacing w:before="56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4" o:spt="75" type="#_x0000_t75" style="height:100.8pt;width:413.85pt;" filled="f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</w:pict>
      </w:r>
    </w:p>
    <w:p>
      <w:pPr>
        <w:spacing w:before="5" w:after="0" w:line="160" w:lineRule="exact"/>
        <w:jc w:val="left"/>
        <w:rPr>
          <w:sz w:val="16"/>
          <w:szCs w:val="16"/>
        </w:rPr>
      </w:pPr>
    </w:p>
    <w:p>
      <w:pPr>
        <w:spacing w:before="0" w:after="0" w:line="379" w:lineRule="auto"/>
        <w:ind w:left="120" w:right="379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color w:val="2D2D2D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有息负债主要是长期债务</w:t>
      </w:r>
      <w:r>
        <w:rPr>
          <w:rFonts w:ascii="Microsoft YaHei UI" w:hAnsi="Microsoft YaHei UI" w:eastAsia="Microsoft YaHei UI" w:cs="Microsoft YaHei UI"/>
          <w:color w:val="2D2D2D"/>
          <w:spacing w:val="-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22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.33</w:t>
      </w:r>
      <w:r>
        <w:rPr>
          <w:rFonts w:ascii="Microsoft YaHei UI" w:hAnsi="Microsoft YaHei UI" w:eastAsia="Microsoft YaHei UI" w:cs="Microsoft YaHei UI"/>
          <w:color w:val="2D2D2D"/>
          <w:spacing w:val="-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亿，而</w:t>
      </w:r>
      <w:r>
        <w:rPr>
          <w:rFonts w:ascii="Microsoft YaHei UI" w:hAnsi="Microsoft YaHei UI" w:eastAsia="Microsoft YaHei UI" w:cs="Microsoft YaHei UI"/>
          <w:color w:val="2D2D2D"/>
          <w:spacing w:val="-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的现</w:t>
      </w:r>
      <w:r>
        <w:rPr>
          <w:rFonts w:ascii="Microsoft YaHei UI" w:hAnsi="Microsoft YaHei UI" w:eastAsia="Microsoft YaHei UI" w:cs="Microsoft YaHei UI"/>
          <w:color w:val="2D2D2D"/>
          <w:spacing w:val="-2"/>
          <w:w w:val="100"/>
          <w:sz w:val="24"/>
          <w:szCs w:val="24"/>
        </w:rPr>
        <w:t>金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及现金等价 物只有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19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.04</w:t>
      </w:r>
      <w:r>
        <w:rPr>
          <w:rFonts w:ascii="Microsoft YaHei UI" w:hAnsi="Microsoft YaHei UI" w:eastAsia="Microsoft YaHei UI" w:cs="Microsoft YaHei UI"/>
          <w:color w:val="2D2D2D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color w:val="2D2D2D"/>
          <w:spacing w:val="-58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看</w:t>
      </w:r>
      <w:r>
        <w:rPr>
          <w:rFonts w:ascii="Microsoft YaHei UI" w:hAnsi="Microsoft YaHei UI" w:eastAsia="Microsoft YaHei UI" w:cs="Microsoft YaHei UI"/>
          <w:color w:val="2D2D2D"/>
          <w:spacing w:val="-2"/>
          <w:w w:val="100"/>
          <w:sz w:val="24"/>
          <w:szCs w:val="24"/>
        </w:rPr>
        <w:t>起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来好像是有偿债风险的</w:t>
      </w:r>
      <w:r>
        <w:rPr>
          <w:rFonts w:ascii="Microsoft YaHei UI" w:hAnsi="Microsoft YaHei UI" w:eastAsia="Microsoft YaHei UI" w:cs="Microsoft YaHei UI"/>
          <w:color w:val="2D2D2D"/>
          <w:spacing w:val="-58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我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们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在财务报表补充数据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里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看下</w:t>
      </w:r>
    </w:p>
    <w:p>
      <w:pPr>
        <w:spacing w:after="0"/>
        <w:jc w:val="left"/>
        <w:sectPr>
          <w:pgSz w:w="11920" w:h="16840"/>
          <w:pgMar w:top="1540" w:right="1340" w:bottom="280" w:left="1680" w:header="720" w:footer="720" w:gutter="0"/>
        </w:sectPr>
      </w:pPr>
    </w:p>
    <w:p>
      <w:pPr>
        <w:spacing w:before="0" w:after="0" w:line="351" w:lineRule="exact"/>
        <w:ind w:left="120" w:right="-2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position w:val="-1"/>
          <w:sz w:val="24"/>
          <w:szCs w:val="24"/>
        </w:rPr>
        <w:t>长期债务的构成</w:t>
      </w:r>
      <w:r>
        <w:rPr>
          <w:rFonts w:hint="eastAsia" w:ascii="Microsoft YaHei UI" w:hAnsi="Microsoft YaHei UI" w:eastAsia="Microsoft YaHei UI" w:cs="Microsoft YaHei UI"/>
          <w:color w:val="2D2D2D"/>
          <w:spacing w:val="0"/>
          <w:w w:val="100"/>
          <w:position w:val="-1"/>
          <w:sz w:val="24"/>
          <w:szCs w:val="24"/>
          <w:lang w:eastAsia="zh-CN"/>
        </w:rPr>
        <w:t>：</w:t>
      </w:r>
      <w:bookmarkStart w:id="0" w:name="_GoBack"/>
      <w:bookmarkEnd w:id="0"/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5" o:spt="75" type="#_x0000_t75" style="height:144.35pt;width:415pt;" filled="f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</w:pict>
      </w:r>
    </w:p>
    <w:p>
      <w:pPr>
        <w:spacing w:before="3" w:after="0" w:line="190" w:lineRule="exact"/>
        <w:jc w:val="left"/>
        <w:rPr>
          <w:sz w:val="19"/>
          <w:szCs w:val="19"/>
        </w:rPr>
      </w:pPr>
    </w:p>
    <w:p>
      <w:pPr>
        <w:spacing w:before="0" w:after="0" w:line="379" w:lineRule="auto"/>
        <w:ind w:left="120" w:right="36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我们看到长期债务主要有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color w:val="2D2D2D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笔</w:t>
      </w:r>
      <w:r>
        <w:rPr>
          <w:rFonts w:ascii="Microsoft YaHei UI" w:hAnsi="Microsoft YaHei UI" w:eastAsia="Microsoft YaHei UI" w:cs="Microsoft YaHei UI"/>
          <w:color w:val="2D2D2D"/>
          <w:spacing w:val="-14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分别是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20</w:t>
      </w:r>
      <w:r>
        <w:rPr>
          <w:rFonts w:hint="eastAsia"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  <w:lang w:val="en-US" w:eastAsia="zh-CN"/>
        </w:rPr>
        <w:t>22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color w:val="2D2D2D"/>
          <w:spacing w:val="-14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202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color w:val="2D2D2D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年以及</w:t>
      </w:r>
      <w:r>
        <w:rPr>
          <w:rFonts w:ascii="Microsoft YaHei UI" w:hAnsi="Microsoft YaHei UI" w:eastAsia="Microsoft YaHei UI" w:cs="Microsoft YaHei UI"/>
          <w:color w:val="2D2D2D"/>
          <w:spacing w:val="-1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20</w:t>
      </w:r>
      <w:r>
        <w:rPr>
          <w:rFonts w:ascii="Microsoft YaHei UI" w:hAnsi="Microsoft YaHei UI" w:eastAsia="Microsoft YaHei UI" w:cs="Microsoft YaHei UI"/>
          <w:color w:val="2D2D2D"/>
          <w:spacing w:val="-2"/>
          <w:w w:val="100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color w:val="2D2D2D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年到期</w:t>
      </w:r>
      <w:r>
        <w:rPr>
          <w:rFonts w:ascii="Microsoft YaHei UI" w:hAnsi="Microsoft YaHei UI" w:eastAsia="Microsoft YaHei UI" w:cs="Microsoft YaHei UI"/>
          <w:color w:val="2D2D2D"/>
          <w:spacing w:val="-14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而且借款利率也非常低。所以完全不用担心</w:t>
      </w:r>
      <w:r>
        <w:rPr>
          <w:rFonts w:ascii="Microsoft YaHei UI" w:hAnsi="Microsoft YaHei UI" w:eastAsia="Microsoft YaHei UI" w:cs="Microsoft YaHei UI"/>
          <w:color w:val="2D2D2D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的偿债风险</w:t>
      </w:r>
    </w:p>
    <w:p>
      <w:pPr>
        <w:spacing w:before="52" w:after="0" w:line="380" w:lineRule="auto"/>
        <w:ind w:left="120" w:right="31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那为什么</w:t>
      </w:r>
      <w:r>
        <w:rPr>
          <w:rFonts w:ascii="Microsoft YaHei UI" w:hAnsi="Microsoft YaHei UI" w:eastAsia="Microsoft YaHei UI" w:cs="Microsoft YaHei UI"/>
          <w:color w:val="2D2D2D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 xml:space="preserve">的资产负债率这么高呢？ </w:t>
      </w:r>
      <w:r>
        <w:rPr>
          <w:rFonts w:ascii="Microsoft YaHei UI" w:hAnsi="Microsoft YaHei UI" w:eastAsia="Microsoft YaHei UI" w:cs="Microsoft YaHei UI"/>
          <w:color w:val="2D2D2D"/>
          <w:spacing w:val="12"/>
          <w:w w:val="100"/>
          <w:sz w:val="24"/>
          <w:szCs w:val="24"/>
        </w:rPr>
        <w:t xml:space="preserve">我们看到负债里主要是履约保证金和担保基金捐款，这是什么呢？我们知道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2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是一家交易所，这其实是客户交易的保证金，属于经营负债，这其实是好事情。</w:t>
      </w:r>
    </w:p>
    <w:p>
      <w:pPr>
        <w:spacing w:before="52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所以虽然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的资产负债率高达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70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%，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但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是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的偿债风险却很小。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b/>
          <w:bCs/>
          <w:spacing w:val="0"/>
          <w:w w:val="112"/>
          <w:sz w:val="24"/>
          <w:szCs w:val="24"/>
        </w:rPr>
        <w:t>、看“应收应付”和“预付预收</w:t>
      </w:r>
      <w:r>
        <w:rPr>
          <w:rFonts w:ascii="Microsoft YaHei UI" w:hAnsi="Microsoft YaHei UI" w:eastAsia="Microsoft YaHei UI" w:cs="Microsoft YaHei UI"/>
          <w:b/>
          <w:bCs/>
          <w:spacing w:val="-120"/>
          <w:w w:val="202"/>
          <w:sz w:val="24"/>
          <w:szCs w:val="24"/>
        </w:rPr>
        <w:t>”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，判断公司的行业地位。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379" w:lineRule="auto"/>
        <w:ind w:left="120" w:right="40" w:firstLine="1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color w:val="2D2D2D"/>
          <w:spacing w:val="39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color w:val="2D2D2D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color w:val="2D2D2D"/>
          <w:spacing w:val="3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color w:val="2D2D2D"/>
          <w:spacing w:val="-2"/>
          <w:w w:val="100"/>
          <w:sz w:val="24"/>
          <w:szCs w:val="24"/>
        </w:rPr>
        <w:t>应</w:t>
      </w:r>
      <w:r>
        <w:rPr>
          <w:rFonts w:ascii="Microsoft YaHei UI" w:hAnsi="Microsoft YaHei UI" w:eastAsia="Microsoft YaHei UI" w:cs="Microsoft YaHei UI"/>
          <w:color w:val="2D2D2D"/>
          <w:spacing w:val="0"/>
          <w:w w:val="100"/>
          <w:sz w:val="24"/>
          <w:szCs w:val="24"/>
        </w:rPr>
        <w:t>付应收都比较小，其实履约保证金本质上就是无偿占用资 金，正是竞争力的体现！</w:t>
      </w:r>
    </w:p>
    <w:p>
      <w:pPr>
        <w:spacing w:before="52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看固定资产，判断公司的轻重。</w:t>
      </w:r>
    </w:p>
    <w:p>
      <w:pPr>
        <w:spacing w:after="0"/>
        <w:jc w:val="left"/>
        <w:sectPr>
          <w:pgSz w:w="11920" w:h="16840"/>
          <w:pgMar w:top="1540" w:right="1680" w:bottom="280" w:left="1680" w:header="720" w:footer="720" w:gutter="0"/>
        </w:sectPr>
      </w:pPr>
    </w:p>
    <w:p>
      <w:pPr>
        <w:spacing w:before="4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48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6" o:spt="75" type="#_x0000_t75" style="height:182.15pt;width:414.5pt;" filled="f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</w:pict>
      </w: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的固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>定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资产只有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亿，与总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>资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产的比例只有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%，可以忽略不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计，C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是一家轻资产类型的公司，维持竞争力的成本低。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、看投资类资产，判断公司的专注程度。</w:t>
      </w:r>
    </w:p>
    <w:p>
      <w:pPr>
        <w:spacing w:before="2" w:after="0" w:line="160" w:lineRule="exact"/>
        <w:jc w:val="left"/>
        <w:rPr>
          <w:sz w:val="16"/>
          <w:szCs w:val="16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7" o:spt="75" type="#_x0000_t75" style="height:139.3pt;width:414.45pt;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</w:pict>
      </w:r>
    </w:p>
    <w:p>
      <w:pPr>
        <w:spacing w:before="90" w:after="0" w:line="379" w:lineRule="auto"/>
        <w:ind w:left="120" w:right="379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的有价证券只有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.9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-53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可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以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忽略不计</w:t>
      </w:r>
      <w:r>
        <w:rPr>
          <w:rFonts w:ascii="Microsoft YaHei UI" w:hAnsi="Microsoft YaHei UI" w:eastAsia="Microsoft YaHei UI" w:cs="Microsoft YaHei UI"/>
          <w:spacing w:val="-52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是一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家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非常专注主 业的公司。</w:t>
      </w:r>
    </w:p>
    <w:p>
      <w:pPr>
        <w:spacing w:before="52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第三步：分析利润表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把合并利润表和现金流量表各个科目看一遍，标记异常科目，并查明原因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480" w:right="-2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我们看到异常科目主要是所得税相关科目，这是由于税法引起的，没有问题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、看营业收入，判断公司的行业地位及成长能力。</w:t>
      </w:r>
    </w:p>
    <w:p>
      <w:pPr>
        <w:spacing w:after="0"/>
        <w:jc w:val="left"/>
        <w:sectPr>
          <w:pgSz w:w="11920" w:h="16840"/>
          <w:pgMar w:top="1360" w:right="1340" w:bottom="280" w:left="1680" w:header="720" w:footer="720" w:gutter="0"/>
        </w:sectPr>
      </w:pPr>
    </w:p>
    <w:p>
      <w:pPr>
        <w:spacing w:before="8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8" o:spt="75" type="#_x0000_t75" style="height:86pt;width:414pt;" filled="f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</w:pict>
      </w:r>
    </w:p>
    <w:p>
      <w:pPr>
        <w:spacing w:before="1" w:after="0" w:line="240" w:lineRule="exact"/>
        <w:jc w:val="left"/>
        <w:rPr>
          <w:sz w:val="24"/>
          <w:szCs w:val="24"/>
        </w:rPr>
      </w:pPr>
    </w:p>
    <w:p>
      <w:pPr>
        <w:spacing w:before="0" w:after="0" w:line="379" w:lineRule="auto"/>
        <w:ind w:left="120" w:right="36"/>
        <w:jc w:val="both"/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 CME 过去 3 年的总收入分别为 33.3 亿、36 亿、36.4 亿。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我们用</w:t>
      </w:r>
      <w:r>
        <w:rPr>
          <w:rFonts w:hint="eastAsia" w:ascii="Microsoft YaHei UI" w:hAnsi="Microsoft YaHei UI" w:eastAsia="Microsoft YaHei UI" w:cs="Microsoft YaHei UI"/>
          <w:color w:val="0000FF"/>
          <w:spacing w:val="0"/>
          <w:w w:val="100"/>
          <w:sz w:val="24"/>
          <w:szCs w:val="24"/>
          <w:lang w:val="en-US" w:eastAsia="zh-CN"/>
        </w:rPr>
        <w:t>总收入减去其他收入得出营业收入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val="en-US" w:eastAsia="zh-CN"/>
        </w:rPr>
        <w:t>，则CME过去3年的营收入分别为32.7亿、34.4亿、34.9亿，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说明 CME的成长性一般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4141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、看毛利率，判断公司产品的竞争力。</w:t>
      </w:r>
    </w:p>
    <w:p>
      <w:pPr>
        <w:spacing w:before="8" w:after="0" w:line="170" w:lineRule="exact"/>
        <w:jc w:val="left"/>
        <w:rPr>
          <w:sz w:val="17"/>
          <w:szCs w:val="17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9" o:spt="75" type="#_x0000_t75" style="height:137.15pt;width:415pt;" filled="f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</w:pict>
      </w:r>
    </w:p>
    <w:p>
      <w:pPr>
        <w:spacing w:before="7" w:after="0" w:line="110" w:lineRule="exact"/>
        <w:jc w:val="left"/>
        <w:rPr>
          <w:sz w:val="11"/>
          <w:szCs w:val="11"/>
        </w:rPr>
      </w:pPr>
    </w:p>
    <w:p>
      <w:pPr>
        <w:spacing w:before="0" w:after="0" w:line="379" w:lineRule="auto"/>
        <w:ind w:left="120" w:right="36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 没有公布营业成本，我们可以估算下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我们在总费用里去掉人员工资和折 旧摊销，剩下的大概是营业成本。大概为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13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.33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.63</w:t>
      </w:r>
      <w:r>
        <w:rPr>
          <w:rFonts w:ascii="Microsoft YaHei UI" w:hAnsi="Microsoft YaHei UI" w:eastAsia="Microsoft YaHei UI" w:cs="Microsoft YaHei UI"/>
          <w:spacing w:val="-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.13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=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6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亿。 毛利率大约为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80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说明</w:t>
      </w:r>
      <w:r>
        <w:rPr>
          <w:rFonts w:ascii="Microsoft YaHei UI" w:hAnsi="Microsoft YaHei UI" w:eastAsia="Microsoft YaHei UI" w:cs="Microsoft YaHei UI"/>
          <w:spacing w:val="-13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的产品竞争力强，行业地位高。</w:t>
      </w:r>
    </w:p>
    <w:p>
      <w:pPr>
        <w:spacing w:before="52" w:after="0" w:line="240" w:lineRule="auto"/>
        <w:ind w:left="120" w:right="4087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看费用率，判断公司成本管控能力。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4050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没有具体三费的数据，这个就不用算了。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2918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，看主营利润，判断公司的盈利能力及利润质量。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566"/>
        <w:jc w:val="both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这里的营业收入就相当于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A</w:t>
      </w:r>
      <w:r>
        <w:rPr>
          <w:rFonts w:ascii="Microsoft YaHei UI" w:hAnsi="Microsoft YaHei UI" w:eastAsia="Microsoft YaHei UI" w:cs="Microsoft YaHei UI"/>
          <w:spacing w:val="-1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股的主营利润，主营利润率高达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60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，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非常高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3421"/>
        <w:jc w:val="both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、看净利润，判断公司的经营成果及含金量。</w:t>
      </w:r>
    </w:p>
    <w:p>
      <w:pPr>
        <w:spacing w:after="0"/>
        <w:jc w:val="both"/>
        <w:sectPr>
          <w:pgSz w:w="11920" w:h="16840"/>
          <w:pgMar w:top="1380" w:right="1680" w:bottom="280" w:left="1680" w:header="720" w:footer="720" w:gutter="0"/>
        </w:sectPr>
      </w:pPr>
    </w:p>
    <w:p>
      <w:pPr>
        <w:spacing w:before="9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0" o:spt="75" type="#_x0000_t75" style="height:183.6pt;width:414.95pt;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</w:pict>
      </w:r>
    </w:p>
    <w:p>
      <w:pPr>
        <w:spacing w:before="2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净利润现金比率分别为</w:t>
      </w:r>
      <w:r>
        <w:rPr>
          <w:rFonts w:ascii="Microsoft YaHei UI" w:hAnsi="Microsoft YaHei UI" w:eastAsia="Microsoft YaHei UI" w:cs="Microsoft YaHei UI"/>
          <w:spacing w:val="-24"/>
          <w:w w:val="100"/>
          <w:sz w:val="24"/>
          <w:szCs w:val="24"/>
        </w:rPr>
        <w:t>：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12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%</w:t>
      </w:r>
      <w:r>
        <w:rPr>
          <w:rFonts w:ascii="Microsoft YaHei UI" w:hAnsi="Microsoft YaHei UI" w:eastAsia="Microsoft YaHei UI" w:cs="Microsoft YaHei UI"/>
          <w:spacing w:val="-24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14%</w:t>
      </w:r>
      <w:r>
        <w:rPr>
          <w:rFonts w:ascii="Microsoft YaHei UI" w:hAnsi="Microsoft YaHei UI" w:eastAsia="Microsoft YaHei UI" w:cs="Microsoft YaHei UI"/>
          <w:spacing w:val="-26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45</w:t>
      </w:r>
      <w:r>
        <w:rPr>
          <w:rFonts w:ascii="Microsoft YaHei UI" w:hAnsi="Microsoft YaHei UI" w:eastAsia="Microsoft YaHei UI" w:cs="Microsoft YaHei UI"/>
          <w:spacing w:val="-3"/>
          <w:w w:val="100"/>
          <w:sz w:val="24"/>
          <w:szCs w:val="24"/>
        </w:rPr>
        <w:t>%</w:t>
      </w:r>
      <w:r>
        <w:rPr>
          <w:rFonts w:ascii="Microsoft YaHei UI" w:hAnsi="Microsoft YaHei UI" w:eastAsia="Microsoft YaHei UI" w:cs="Microsoft YaHei UI"/>
          <w:spacing w:val="-24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由于税改增加了当期利润，净利润是真金白银。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第四步、分析现金流量表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看经营活动产生的现金流量净额，判断公司的造血能力。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20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0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2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经营活动产生的现金流量净额分别为</w:t>
      </w:r>
      <w:r>
        <w:rPr>
          <w:rFonts w:ascii="Microsoft YaHei UI" w:hAnsi="Microsoft YaHei UI" w:eastAsia="Microsoft YaHei UI" w:cs="Microsoft YaHei UI"/>
          <w:spacing w:val="-120"/>
          <w:w w:val="100"/>
          <w:sz w:val="24"/>
          <w:szCs w:val="24"/>
        </w:rPr>
        <w:t>：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15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-2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</w:t>
      </w:r>
      <w:r>
        <w:rPr>
          <w:rFonts w:ascii="Microsoft YaHei UI" w:hAnsi="Microsoft YaHei UI" w:eastAsia="Microsoft YaHei UI" w:cs="Microsoft YaHei UI"/>
          <w:spacing w:val="-12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17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-19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亿、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18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.4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亿，持续增加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379" w:lineRule="auto"/>
        <w:ind w:left="480" w:right="247" w:hanging="36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-4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b/>
          <w:bCs/>
          <w:color w:val="333333"/>
          <w:spacing w:val="0"/>
          <w:w w:val="133"/>
          <w:sz w:val="24"/>
          <w:szCs w:val="24"/>
        </w:rPr>
        <w:t>看</w:t>
      </w:r>
      <w:r>
        <w:rPr>
          <w:rFonts w:hint="eastAsia" w:ascii="Microsoft YaHei UI" w:hAnsi="Microsoft YaHei UI" w:eastAsia="Microsoft YaHei UI" w:cs="Microsoft YaHei UI"/>
          <w:b/>
          <w:bCs/>
          <w:color w:val="333333"/>
          <w:spacing w:val="0"/>
          <w:w w:val="133"/>
          <w:sz w:val="24"/>
          <w:szCs w:val="24"/>
          <w:lang w:eastAsia="zh-CN"/>
        </w:rPr>
        <w:t>“</w:t>
      </w:r>
      <w:r>
        <w:rPr>
          <w:rFonts w:ascii="Microsoft YaHei UI" w:hAnsi="Microsoft YaHei UI" w:eastAsia="Microsoft YaHei UI" w:cs="Microsoft YaHei UI"/>
          <w:b/>
          <w:bCs/>
          <w:color w:val="000000"/>
          <w:spacing w:val="0"/>
          <w:w w:val="100"/>
          <w:sz w:val="24"/>
          <w:szCs w:val="24"/>
        </w:rPr>
        <w:t>购买固定资产、无形资产和其他长期资产支付的现金</w:t>
      </w:r>
      <w:r>
        <w:rPr>
          <w:rFonts w:hint="eastAsia" w:ascii="Microsoft YaHei UI" w:hAnsi="Microsoft YaHei UI" w:eastAsia="Microsoft YaHei UI" w:cs="Microsoft YaHei UI"/>
          <w:b/>
          <w:bCs/>
          <w:color w:val="333333"/>
          <w:spacing w:val="0"/>
          <w:w w:val="133"/>
          <w:sz w:val="24"/>
          <w:szCs w:val="24"/>
          <w:lang w:eastAsia="zh-CN"/>
        </w:rPr>
        <w:t>”，</w:t>
      </w:r>
      <w:r>
        <w:rPr>
          <w:rFonts w:ascii="Microsoft YaHei UI" w:hAnsi="Microsoft YaHei UI" w:eastAsia="Microsoft YaHei UI" w:cs="Microsoft YaHei UI"/>
          <w:b/>
          <w:bCs/>
          <w:color w:val="000000"/>
          <w:spacing w:val="0"/>
          <w:w w:val="100"/>
          <w:sz w:val="24"/>
          <w:szCs w:val="24"/>
        </w:rPr>
        <w:t>判断公司未来的成长能力。</w:t>
      </w:r>
    </w:p>
    <w:p>
      <w:pPr>
        <w:spacing w:before="2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1" o:spt="75" type="#_x0000_t75" style="height:77.4pt;width:414.45pt;" filled="f" coordsize="21600,21600">
            <v:path/>
            <v:fill on="f" focussize="0,0"/>
            <v:stroke/>
            <v:imagedata r:id="rId20" o:title=""/>
            <o:lock v:ext="edit" aspectratio="t"/>
            <w10:wrap type="none"/>
            <w10:anchorlock/>
          </v:shape>
        </w:pict>
      </w:r>
    </w:p>
    <w:p>
      <w:pPr>
        <w:spacing w:before="5" w:after="0" w:line="240" w:lineRule="exact"/>
        <w:jc w:val="left"/>
        <w:rPr>
          <w:sz w:val="24"/>
          <w:szCs w:val="24"/>
        </w:rPr>
      </w:pPr>
    </w:p>
    <w:p>
      <w:pPr>
        <w:spacing w:before="0" w:after="0" w:line="379" w:lineRule="auto"/>
        <w:ind w:left="120" w:right="18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连续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年购买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财</w:t>
      </w:r>
      <w:r>
        <w:rPr>
          <w:rFonts w:ascii="Microsoft YaHei UI" w:hAnsi="Microsoft YaHei UI" w:eastAsia="Microsoft YaHei UI" w:cs="Microsoft YaHei UI"/>
          <w:spacing w:val="0"/>
          <w:w w:val="105"/>
          <w:sz w:val="24"/>
          <w:szCs w:val="24"/>
        </w:rPr>
        <w:t xml:space="preserve">产、投资商业企业与“经营活动产生的现金流量净额”的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比率都小于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10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%，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说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明未来成长能力一般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52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、看分红判断公司的品质。</w:t>
      </w:r>
    </w:p>
    <w:p>
      <w:pPr>
        <w:spacing w:after="0"/>
        <w:jc w:val="left"/>
        <w:sectPr>
          <w:pgSz w:w="11920" w:h="16840"/>
          <w:pgMar w:top="1340" w:right="1560" w:bottom="280" w:left="1680" w:header="720" w:footer="720" w:gutter="0"/>
        </w:sectPr>
      </w:pPr>
    </w:p>
    <w:p>
      <w:pPr>
        <w:spacing w:before="91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2" o:spt="75" type="#_x0000_t75" style="height:126.7pt;width:415pt;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</w:pict>
      </w:r>
    </w:p>
    <w:p>
      <w:pPr>
        <w:spacing w:before="1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13" w:lineRule="exact"/>
        <w:ind w:left="120" w:right="-2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我们看到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每年的分红和正常的净利润差不多，说明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5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非常慷慨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100"/>
          <w:sz w:val="24"/>
          <w:szCs w:val="24"/>
        </w:rPr>
        <w:t>4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、看三大活动现金流量净额的组合类型，选出最佳类型的公司。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16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连续</w:t>
      </w:r>
      <w:r>
        <w:rPr>
          <w:rFonts w:ascii="Microsoft YaHei UI" w:hAnsi="Microsoft YaHei UI" w:eastAsia="Microsoft YaHei UI" w:cs="Microsoft YaHei UI"/>
          <w:spacing w:val="-11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3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年的类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型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是</w:t>
      </w:r>
      <w:r>
        <w:rPr>
          <w:rFonts w:ascii="Microsoft YaHei UI" w:hAnsi="Microsoft YaHei UI" w:eastAsia="Microsoft YaHei UI" w:cs="Microsoft YaHei UI"/>
          <w:spacing w:val="-120"/>
          <w:w w:val="100"/>
          <w:sz w:val="24"/>
          <w:szCs w:val="24"/>
        </w:rPr>
        <w:t>：</w:t>
      </w:r>
      <w:r>
        <w:rPr>
          <w:rFonts w:ascii="Microsoft YaHei UI" w:hAnsi="Microsoft YaHei UI" w:eastAsia="Microsoft YaHei UI" w:cs="Microsoft YaHei UI"/>
          <w:spacing w:val="0"/>
          <w:w w:val="121"/>
          <w:sz w:val="24"/>
          <w:szCs w:val="24"/>
        </w:rPr>
        <w:t>“正正负”型</w:t>
      </w:r>
      <w:r>
        <w:rPr>
          <w:rFonts w:ascii="Microsoft YaHei UI" w:hAnsi="Microsoft YaHei UI" w:eastAsia="Microsoft YaHei UI" w:cs="Microsoft YaHei UI"/>
          <w:spacing w:val="1"/>
          <w:w w:val="121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属于优秀公司的类型。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20" w:right="-20"/>
        <w:jc w:val="left"/>
        <w:rPr>
          <w:rFonts w:ascii="Microsoft YaHei UI" w:hAnsi="Microsoft YaHei UI" w:eastAsia="Microsoft YaHei UI" w:cs="Microsoft YaHei UI"/>
          <w:sz w:val="24"/>
          <w:szCs w:val="24"/>
        </w:rPr>
      </w:pPr>
      <w:r>
        <w:rPr>
          <w:rFonts w:ascii="Microsoft YaHei UI" w:hAnsi="Microsoft YaHei UI" w:eastAsia="Microsoft YaHei UI" w:cs="Microsoft YaHei UI"/>
          <w:b/>
          <w:bCs/>
          <w:spacing w:val="1"/>
          <w:w w:val="99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、</w:t>
      </w:r>
      <w:r>
        <w:rPr>
          <w:rFonts w:ascii="Microsoft YaHei UI" w:hAnsi="Microsoft YaHei UI" w:eastAsia="Microsoft YaHei UI" w:cs="Microsoft YaHei UI"/>
          <w:b/>
          <w:bCs/>
          <w:spacing w:val="0"/>
          <w:w w:val="103"/>
          <w:sz w:val="24"/>
          <w:szCs w:val="24"/>
        </w:rPr>
        <w:t>看“现金及现金等价物的净增加额</w:t>
      </w:r>
      <w:r>
        <w:rPr>
          <w:rFonts w:ascii="Microsoft YaHei UI" w:hAnsi="Microsoft YaHei UI" w:eastAsia="Microsoft YaHei UI" w:cs="Microsoft YaHei UI"/>
          <w:b/>
          <w:bCs/>
          <w:spacing w:val="-120"/>
          <w:w w:val="202"/>
          <w:sz w:val="24"/>
          <w:szCs w:val="24"/>
        </w:rPr>
        <w:t>”</w:t>
      </w:r>
      <w:r>
        <w:rPr>
          <w:rFonts w:ascii="Microsoft YaHei UI" w:hAnsi="Microsoft YaHei UI" w:eastAsia="Microsoft YaHei UI" w:cs="Microsoft YaHei UI"/>
          <w:b/>
          <w:bCs/>
          <w:spacing w:val="0"/>
          <w:w w:val="100"/>
          <w:sz w:val="24"/>
          <w:szCs w:val="24"/>
        </w:rPr>
        <w:t>，判断公司的稳定性</w:t>
      </w:r>
      <w:r>
        <w:rPr>
          <w:rFonts w:ascii="Microsoft YaHei UI" w:hAnsi="Microsoft YaHei UI" w:eastAsia="Microsoft YaHei UI" w:cs="Microsoft YaHei UI"/>
          <w:b/>
          <w:bCs/>
          <w:spacing w:val="-119"/>
          <w:w w:val="100"/>
          <w:sz w:val="24"/>
          <w:szCs w:val="24"/>
        </w:rPr>
        <w:t>。</w:t>
      </w:r>
      <w:r>
        <w:rPr>
          <w:rFonts w:ascii="Microsoft YaHei UI" w:hAnsi="Microsoft YaHei UI" w:eastAsia="Microsoft YaHei UI" w:cs="Microsoft YaHei UI"/>
          <w:spacing w:val="0"/>
          <w:w w:val="265"/>
          <w:sz w:val="24"/>
          <w:szCs w:val="24"/>
        </w:rPr>
        <w:t>“</w:t>
      </w:r>
    </w:p>
    <w:p>
      <w:pPr>
        <w:spacing w:before="5" w:after="0" w:line="160" w:lineRule="exact"/>
        <w:jc w:val="left"/>
        <w:rPr>
          <w:sz w:val="16"/>
          <w:szCs w:val="16"/>
        </w:rPr>
      </w:pPr>
    </w:p>
    <w:p>
      <w:pPr>
        <w:spacing w:before="0" w:after="0" w:line="240" w:lineRule="auto"/>
        <w:ind w:left="12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3" o:spt="75" type="#_x0000_t75" style="height:29.85pt;width:412.95pt;" filled="f" coordsize="21600,21600">
            <v:path/>
            <v:fill on="f" focussize="0,0"/>
            <v:stroke/>
            <v:imagedata r:id="rId22" o:title=""/>
            <o:lock v:ext="edit" aspectratio="t"/>
            <w10:wrap type="none"/>
            <w10:anchorlock/>
          </v:shape>
        </w:pict>
      </w:r>
    </w:p>
    <w:p>
      <w:pPr>
        <w:spacing w:before="91" w:after="0" w:line="240" w:lineRule="auto"/>
        <w:ind w:left="120" w:right="-20"/>
        <w:jc w:val="left"/>
        <w:rPr>
          <w:rFonts w:hint="eastAsia" w:ascii="Microsoft YaHei UI" w:hAnsi="Microsoft YaHei UI" w:eastAsia="Microsoft YaHei UI" w:cs="Microsoft YaHei UI"/>
          <w:sz w:val="24"/>
          <w:szCs w:val="24"/>
          <w:lang w:eastAsia="zh-CN"/>
        </w:rPr>
      </w:pP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C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M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E</w:t>
      </w:r>
      <w:r>
        <w:rPr>
          <w:rFonts w:ascii="Microsoft YaHei UI" w:hAnsi="Microsoft YaHei UI" w:eastAsia="Microsoft YaHei UI" w:cs="Microsoft YaHei UI"/>
          <w:spacing w:val="-4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01</w:t>
      </w:r>
      <w:r>
        <w:rPr>
          <w:rFonts w:ascii="Microsoft YaHei UI" w:hAnsi="Microsoft YaHei UI" w:eastAsia="Microsoft YaHei UI" w:cs="Microsoft YaHei UI"/>
          <w:spacing w:val="2"/>
          <w:w w:val="100"/>
          <w:sz w:val="24"/>
          <w:szCs w:val="24"/>
        </w:rPr>
        <w:t>5</w:t>
      </w:r>
      <w:r>
        <w:rPr>
          <w:rFonts w:ascii="Microsoft YaHei UI" w:hAnsi="Microsoft YaHei UI" w:eastAsia="Microsoft YaHei UI" w:cs="Microsoft YaHei UI"/>
          <w:spacing w:val="-1"/>
          <w:w w:val="100"/>
          <w:sz w:val="24"/>
          <w:szCs w:val="24"/>
        </w:rPr>
        <w:t>-</w:t>
      </w:r>
      <w:r>
        <w:rPr>
          <w:rFonts w:ascii="Microsoft YaHei UI" w:hAnsi="Microsoft YaHei UI" w:eastAsia="Microsoft YaHei UI" w:cs="Microsoft YaHei UI"/>
          <w:spacing w:val="-2"/>
          <w:w w:val="100"/>
          <w:sz w:val="24"/>
          <w:szCs w:val="24"/>
        </w:rPr>
        <w:t>2</w:t>
      </w:r>
      <w:r>
        <w:rPr>
          <w:rFonts w:ascii="Microsoft YaHei UI" w:hAnsi="Microsoft YaHei UI" w:eastAsia="Microsoft YaHei UI" w:cs="Microsoft YaHei UI"/>
          <w:spacing w:val="1"/>
          <w:w w:val="100"/>
          <w:sz w:val="24"/>
          <w:szCs w:val="24"/>
        </w:rPr>
        <w:t>01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7</w:t>
      </w:r>
      <w:r>
        <w:rPr>
          <w:rFonts w:ascii="Microsoft YaHei UI" w:hAnsi="Microsoft YaHei UI" w:eastAsia="Microsoft YaHei UI" w:cs="Microsoft YaHei UI"/>
          <w:spacing w:val="-10"/>
          <w:w w:val="100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6"/>
          <w:sz w:val="24"/>
          <w:szCs w:val="24"/>
        </w:rPr>
        <w:t>年</w:t>
      </w:r>
      <w:r>
        <w:rPr>
          <w:rFonts w:ascii="Microsoft YaHei UI" w:hAnsi="Microsoft YaHei UI" w:eastAsia="Microsoft YaHei UI" w:cs="Microsoft YaHei UI"/>
          <w:spacing w:val="-2"/>
          <w:w w:val="106"/>
          <w:sz w:val="24"/>
          <w:szCs w:val="24"/>
        </w:rPr>
        <w:t>的</w:t>
      </w:r>
      <w:r>
        <w:rPr>
          <w:rFonts w:ascii="Microsoft YaHei UI" w:hAnsi="Microsoft YaHei UI" w:eastAsia="Microsoft YaHei UI" w:cs="Microsoft YaHei UI"/>
          <w:spacing w:val="0"/>
          <w:w w:val="106"/>
          <w:sz w:val="24"/>
          <w:szCs w:val="24"/>
        </w:rPr>
        <w:t>“现金及现金等价物的净增加额”都大于</w:t>
      </w:r>
      <w:r>
        <w:rPr>
          <w:rFonts w:ascii="Microsoft YaHei UI" w:hAnsi="Microsoft YaHei UI" w:eastAsia="Microsoft YaHei UI" w:cs="Microsoft YaHei UI"/>
          <w:spacing w:val="-3"/>
          <w:w w:val="106"/>
          <w:sz w:val="24"/>
          <w:szCs w:val="24"/>
        </w:rPr>
        <w:t xml:space="preserve"> </w:t>
      </w:r>
      <w:r>
        <w:rPr>
          <w:rFonts w:ascii="Microsoft YaHei UI" w:hAnsi="Microsoft YaHei UI" w:eastAsia="Microsoft YaHei UI" w:cs="Microsoft YaHei UI"/>
          <w:spacing w:val="0"/>
          <w:w w:val="100"/>
          <w:sz w:val="24"/>
          <w:szCs w:val="24"/>
        </w:rPr>
        <w:t>0</w:t>
      </w:r>
      <w:r>
        <w:rPr>
          <w:rFonts w:hint="eastAsia" w:ascii="Microsoft YaHei UI" w:hAnsi="Microsoft YaHei UI" w:eastAsia="Microsoft YaHei UI" w:cs="Microsoft YaHei UI"/>
          <w:spacing w:val="0"/>
          <w:w w:val="100"/>
          <w:sz w:val="24"/>
          <w:szCs w:val="24"/>
          <w:lang w:eastAsia="zh-CN"/>
        </w:rPr>
        <w:t>。</w:t>
      </w:r>
    </w:p>
    <w:sectPr>
      <w:pgSz w:w="11920" w:h="16840"/>
      <w:pgMar w:top="146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 UI">
    <w:panose1 w:val="020B0503020204020204"/>
    <w:charset w:val="34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7B2E8D"/>
    <w:multiLevelType w:val="singleLevel"/>
    <w:tmpl w:val="BB7B2E8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02244F25"/>
    <w:rsid w:val="06D51838"/>
    <w:rsid w:val="089E496D"/>
    <w:rsid w:val="1BA362A9"/>
    <w:rsid w:val="1F6D116E"/>
    <w:rsid w:val="24A65AC7"/>
    <w:rsid w:val="31961EE9"/>
    <w:rsid w:val="3A893AF0"/>
    <w:rsid w:val="47165EDD"/>
    <w:rsid w:val="56186062"/>
    <w:rsid w:val="58D966F8"/>
    <w:rsid w:val="59651409"/>
    <w:rsid w:val="5A913CAE"/>
    <w:rsid w:val="5E7F407A"/>
    <w:rsid w:val="5F5106AA"/>
    <w:rsid w:val="635F01B3"/>
    <w:rsid w:val="6B2540D4"/>
    <w:rsid w:val="742D23EA"/>
    <w:rsid w:val="767A0699"/>
    <w:rsid w:val="777A6C5D"/>
    <w:rsid w:val="7CEA6A78"/>
    <w:rsid w:val="7D5C75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ScaleCrop>false</ScaleCrop>
  <LinksUpToDate>false</LinksUpToDate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2020-01-14T20:12:00Z</dcterms:created>
  <dc:creator>xia tian</dc:creator>
  <cp:lastModifiedBy>大庆</cp:lastModifiedBy>
  <dcterms:modified xsi:type="dcterms:W3CDTF">2020-01-14T14:43:05Z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2019-04-17T00:00:00Z</vt:filetime>
  </property>
  <property fmtid="{D5CDD505-2E9C-101B-9397-08002B2CF9AE}" pid="3" name="LastSaved">
    <vt:filetime>2020-01-14T00:00:00Z</vt:filetime>
  </property>
  <property fmtid="{D5CDD505-2E9C-101B-9397-08002B2CF9AE}" pid="4" name="KSOProductBuildVer">
    <vt:lpwstr>2052-11.1.0.9339</vt:lpwstr>
  </property>
</Properties>
</file>