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3CD21">
      <w:pPr>
        <w:pStyle w:val="31"/>
        <w:jc w:val="center"/>
      </w:pPr>
      <w:r>
        <w:rPr>
          <w:rFonts w:ascii="宋体" w:hAnsi="宋体" w:eastAsia="宋体"/>
          <w:b/>
        </w:rPr>
        <w:t>债券利率风险情景分析工具</w:t>
      </w:r>
    </w:p>
    <w:p w14:paraId="0941859D">
      <w:pPr>
        <w:pStyle w:val="3"/>
      </w:pPr>
      <w:r>
        <w:rPr>
          <w:rFonts w:ascii="宋体" w:hAnsi="宋体" w:eastAsia="宋体"/>
          <w:b/>
        </w:rPr>
        <w:t>《金融市场与金融机构》期中持续项目说明书</w:t>
      </w:r>
    </w:p>
    <w:p w14:paraId="0C1597C9">
      <w:pPr>
        <w:pStyle w:val="4"/>
        <w:jc w:val="center"/>
      </w:pPr>
      <w:r>
        <w:rPr>
          <w:rFonts w:ascii="宋体" w:hAnsi="宋体" w:eastAsia="宋体"/>
          <w:b/>
        </w:rPr>
        <w:t>项目基本信息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525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1F4E78"/>
          </w:tcPr>
          <w:p w14:paraId="6F233C2E">
            <w:pPr>
              <w:spacing w:after="0" w:line="240" w:lineRule="auto"/>
              <w:jc w:val="center"/>
              <w:rPr>
                <w:sz w:val="24"/>
                <w:szCs w:val="24"/>
              </w:rPr>
            </w:pPr>
            <w:r>
              <w:rPr>
                <w:rFonts w:ascii="宋体" w:hAnsi="宋体" w:eastAsia="宋体"/>
                <w:b/>
                <w:color w:val="FFFFFF"/>
                <w:sz w:val="24"/>
                <w:szCs w:val="24"/>
              </w:rPr>
              <w:t>项目</w:t>
            </w:r>
          </w:p>
        </w:tc>
        <w:tc>
          <w:tcPr>
            <w:tcW w:w="4320" w:type="dxa"/>
            <w:shd w:val="clear" w:color="auto" w:fill="1F4E78"/>
          </w:tcPr>
          <w:p w14:paraId="0A4711D4">
            <w:pPr>
              <w:spacing w:after="0" w:line="240" w:lineRule="auto"/>
              <w:jc w:val="center"/>
              <w:rPr>
                <w:sz w:val="24"/>
                <w:szCs w:val="24"/>
              </w:rPr>
            </w:pPr>
            <w:r>
              <w:rPr>
                <w:rFonts w:ascii="宋体" w:hAnsi="宋体" w:eastAsia="宋体"/>
                <w:b/>
                <w:color w:val="FFFFFF"/>
                <w:sz w:val="24"/>
                <w:szCs w:val="24"/>
              </w:rPr>
              <w:t>内容</w:t>
            </w:r>
          </w:p>
        </w:tc>
      </w:tr>
      <w:tr w14:paraId="045A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D04AFB">
            <w:pPr>
              <w:spacing w:after="0" w:line="240" w:lineRule="auto"/>
              <w:jc w:val="center"/>
              <w:rPr>
                <w:sz w:val="24"/>
                <w:szCs w:val="24"/>
              </w:rPr>
            </w:pPr>
            <w:r>
              <w:rPr>
                <w:rFonts w:ascii="宋体" w:hAnsi="宋体" w:eastAsia="宋体"/>
                <w:b w:val="0"/>
                <w:sz w:val="24"/>
                <w:szCs w:val="24"/>
              </w:rPr>
              <w:t>课程名称</w:t>
            </w:r>
          </w:p>
        </w:tc>
        <w:tc>
          <w:tcPr>
            <w:tcW w:w="4320" w:type="dxa"/>
          </w:tcPr>
          <w:p w14:paraId="1F0E8854">
            <w:pPr>
              <w:spacing w:after="0" w:line="240" w:lineRule="auto"/>
              <w:jc w:val="center"/>
              <w:rPr>
                <w:sz w:val="24"/>
                <w:szCs w:val="24"/>
              </w:rPr>
            </w:pPr>
            <w:r>
              <w:rPr>
                <w:rFonts w:ascii="宋体" w:hAnsi="宋体" w:eastAsia="宋体"/>
                <w:b w:val="0"/>
                <w:sz w:val="24"/>
                <w:szCs w:val="24"/>
              </w:rPr>
              <w:t>金融市场与金融机构</w:t>
            </w:r>
          </w:p>
        </w:tc>
      </w:tr>
      <w:tr w14:paraId="672B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6756A9A">
            <w:pPr>
              <w:spacing w:after="0" w:line="240" w:lineRule="auto"/>
              <w:jc w:val="center"/>
              <w:rPr>
                <w:sz w:val="24"/>
                <w:szCs w:val="24"/>
              </w:rPr>
            </w:pPr>
            <w:r>
              <w:rPr>
                <w:rFonts w:ascii="宋体" w:hAnsi="宋体" w:eastAsia="宋体"/>
                <w:b w:val="0"/>
                <w:sz w:val="24"/>
                <w:szCs w:val="24"/>
              </w:rPr>
              <w:t>项目名称</w:t>
            </w:r>
          </w:p>
        </w:tc>
        <w:tc>
          <w:tcPr>
            <w:tcW w:w="4320" w:type="dxa"/>
          </w:tcPr>
          <w:p w14:paraId="7E190E1F">
            <w:pPr>
              <w:spacing w:after="0" w:line="240" w:lineRule="auto"/>
              <w:jc w:val="center"/>
              <w:rPr>
                <w:sz w:val="24"/>
                <w:szCs w:val="24"/>
              </w:rPr>
            </w:pPr>
            <w:r>
              <w:rPr>
                <w:rFonts w:ascii="宋体" w:hAnsi="宋体" w:eastAsia="宋体"/>
                <w:b w:val="0"/>
                <w:sz w:val="24"/>
                <w:szCs w:val="24"/>
              </w:rPr>
              <w:t>债券利率风险情景分析工具</w:t>
            </w:r>
          </w:p>
        </w:tc>
      </w:tr>
      <w:tr w14:paraId="0EB5A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D956CF">
            <w:pPr>
              <w:spacing w:after="0" w:line="240" w:lineRule="auto"/>
              <w:jc w:val="center"/>
              <w:rPr>
                <w:sz w:val="24"/>
                <w:szCs w:val="24"/>
              </w:rPr>
            </w:pPr>
            <w:r>
              <w:rPr>
                <w:rFonts w:ascii="宋体" w:hAnsi="宋体" w:eastAsia="宋体"/>
                <w:b w:val="0"/>
                <w:sz w:val="24"/>
                <w:szCs w:val="24"/>
              </w:rPr>
              <w:t>项目类型</w:t>
            </w:r>
          </w:p>
        </w:tc>
        <w:tc>
          <w:tcPr>
            <w:tcW w:w="4320" w:type="dxa"/>
          </w:tcPr>
          <w:p w14:paraId="39CCA186">
            <w:pPr>
              <w:spacing w:after="0" w:line="240" w:lineRule="auto"/>
              <w:jc w:val="center"/>
              <w:rPr>
                <w:sz w:val="24"/>
                <w:szCs w:val="24"/>
              </w:rPr>
            </w:pPr>
            <w:r>
              <w:rPr>
                <w:rFonts w:ascii="宋体" w:hAnsi="宋体" w:eastAsia="宋体"/>
                <w:b w:val="0"/>
                <w:sz w:val="24"/>
                <w:szCs w:val="24"/>
              </w:rPr>
              <w:t>Skill / 代码或分析工具（Excel 情景分析工作簿，期末升级为可交互网页）</w:t>
            </w:r>
          </w:p>
        </w:tc>
      </w:tr>
      <w:tr w14:paraId="5EF5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B7B1813">
            <w:pPr>
              <w:spacing w:after="0" w:line="240" w:lineRule="auto"/>
              <w:jc w:val="center"/>
              <w:rPr>
                <w:sz w:val="24"/>
                <w:szCs w:val="24"/>
              </w:rPr>
            </w:pPr>
            <w:r>
              <w:rPr>
                <w:rFonts w:ascii="宋体" w:hAnsi="宋体" w:eastAsia="宋体"/>
                <w:b w:val="0"/>
                <w:sz w:val="24"/>
                <w:szCs w:val="24"/>
              </w:rPr>
              <w:t>指导教师</w:t>
            </w:r>
          </w:p>
        </w:tc>
        <w:tc>
          <w:tcPr>
            <w:tcW w:w="4320" w:type="dxa"/>
          </w:tcPr>
          <w:p w14:paraId="15E006FB">
            <w:pPr>
              <w:spacing w:after="0" w:line="240" w:lineRule="auto"/>
              <w:jc w:val="center"/>
              <w:rPr>
                <w:sz w:val="24"/>
                <w:szCs w:val="24"/>
              </w:rPr>
            </w:pPr>
            <w:r>
              <w:rPr>
                <w:rFonts w:ascii="宋体" w:hAnsi="宋体" w:eastAsia="宋体"/>
                <w:b w:val="0"/>
                <w:sz w:val="24"/>
                <w:szCs w:val="24"/>
              </w:rPr>
              <w:t>————</w:t>
            </w:r>
          </w:p>
        </w:tc>
      </w:tr>
      <w:tr w14:paraId="560E8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C72F6B">
            <w:pPr>
              <w:spacing w:after="0" w:line="240" w:lineRule="auto"/>
              <w:jc w:val="center"/>
              <w:rPr>
                <w:sz w:val="24"/>
                <w:szCs w:val="24"/>
              </w:rPr>
            </w:pPr>
            <w:r>
              <w:rPr>
                <w:rFonts w:ascii="宋体" w:hAnsi="宋体" w:eastAsia="宋体"/>
                <w:b w:val="0"/>
                <w:sz w:val="24"/>
                <w:szCs w:val="24"/>
              </w:rPr>
              <w:t>班　　级</w:t>
            </w:r>
          </w:p>
        </w:tc>
        <w:tc>
          <w:tcPr>
            <w:tcW w:w="4320" w:type="dxa"/>
          </w:tcPr>
          <w:p w14:paraId="24216A7A">
            <w:pPr>
              <w:spacing w:after="0" w:line="240" w:lineRule="auto"/>
              <w:jc w:val="center"/>
              <w:rPr>
                <w:sz w:val="24"/>
                <w:szCs w:val="24"/>
              </w:rPr>
            </w:pPr>
            <w:r>
              <w:rPr>
                <w:rFonts w:ascii="宋体" w:hAnsi="宋体" w:eastAsia="宋体"/>
                <w:b w:val="0"/>
                <w:sz w:val="24"/>
                <w:szCs w:val="24"/>
              </w:rPr>
              <w:t>金融专硕 3 班</w:t>
            </w:r>
          </w:p>
        </w:tc>
      </w:tr>
      <w:tr w14:paraId="1ECC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76D075">
            <w:pPr>
              <w:spacing w:after="0" w:line="240" w:lineRule="auto"/>
              <w:jc w:val="center"/>
              <w:rPr>
                <w:sz w:val="24"/>
                <w:szCs w:val="24"/>
              </w:rPr>
            </w:pPr>
            <w:r>
              <w:rPr>
                <w:rFonts w:ascii="宋体" w:hAnsi="宋体" w:eastAsia="宋体"/>
                <w:b w:val="0"/>
                <w:sz w:val="24"/>
                <w:szCs w:val="24"/>
              </w:rPr>
              <w:t>学生姓名</w:t>
            </w:r>
          </w:p>
        </w:tc>
        <w:tc>
          <w:tcPr>
            <w:tcW w:w="4320" w:type="dxa"/>
          </w:tcPr>
          <w:p w14:paraId="7DA976A9">
            <w:pPr>
              <w:spacing w:after="0" w:line="240" w:lineRule="auto"/>
              <w:jc w:val="center"/>
              <w:rPr>
                <w:sz w:val="24"/>
                <w:szCs w:val="24"/>
              </w:rPr>
            </w:pPr>
            <w:r>
              <w:rPr>
                <w:rFonts w:ascii="宋体" w:hAnsi="宋体" w:eastAsia="宋体"/>
                <w:b w:val="0"/>
                <w:sz w:val="24"/>
                <w:szCs w:val="24"/>
              </w:rPr>
              <w:t>鲍玉婷</w:t>
            </w:r>
          </w:p>
        </w:tc>
      </w:tr>
      <w:tr w14:paraId="2A79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D429F1">
            <w:pPr>
              <w:spacing w:after="0" w:line="240" w:lineRule="auto"/>
              <w:jc w:val="center"/>
              <w:rPr>
                <w:sz w:val="24"/>
                <w:szCs w:val="24"/>
              </w:rPr>
            </w:pPr>
            <w:r>
              <w:rPr>
                <w:rFonts w:ascii="宋体" w:hAnsi="宋体" w:eastAsia="宋体"/>
                <w:b w:val="0"/>
                <w:sz w:val="24"/>
                <w:szCs w:val="24"/>
              </w:rPr>
              <w:t>学　　号</w:t>
            </w:r>
          </w:p>
        </w:tc>
        <w:tc>
          <w:tcPr>
            <w:tcW w:w="4320" w:type="dxa"/>
          </w:tcPr>
          <w:p w14:paraId="1BD0C419">
            <w:pPr>
              <w:spacing w:after="0" w:line="240" w:lineRule="auto"/>
              <w:jc w:val="center"/>
              <w:rPr>
                <w:sz w:val="24"/>
                <w:szCs w:val="24"/>
              </w:rPr>
            </w:pPr>
            <w:r>
              <w:rPr>
                <w:rFonts w:ascii="宋体" w:hAnsi="宋体" w:eastAsia="宋体"/>
                <w:b w:val="0"/>
                <w:sz w:val="24"/>
                <w:szCs w:val="24"/>
              </w:rPr>
              <w:t>3202610086</w:t>
            </w:r>
          </w:p>
        </w:tc>
      </w:tr>
      <w:tr w14:paraId="228C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F7EA5E5">
            <w:pPr>
              <w:spacing w:after="0" w:line="240" w:lineRule="auto"/>
              <w:jc w:val="center"/>
              <w:rPr>
                <w:sz w:val="24"/>
                <w:szCs w:val="24"/>
              </w:rPr>
            </w:pPr>
            <w:r>
              <w:rPr>
                <w:rFonts w:ascii="宋体" w:hAnsi="宋体" w:eastAsia="宋体"/>
                <w:b w:val="0"/>
                <w:sz w:val="24"/>
                <w:szCs w:val="24"/>
              </w:rPr>
              <w:t>院系 / 专业</w:t>
            </w:r>
          </w:p>
        </w:tc>
        <w:tc>
          <w:tcPr>
            <w:tcW w:w="4320" w:type="dxa"/>
          </w:tcPr>
          <w:p w14:paraId="2A778E0B">
            <w:pPr>
              <w:spacing w:after="0" w:line="240" w:lineRule="auto"/>
              <w:jc w:val="center"/>
              <w:rPr>
                <w:sz w:val="24"/>
                <w:szCs w:val="24"/>
              </w:rPr>
            </w:pPr>
            <w:r>
              <w:rPr>
                <w:rFonts w:ascii="宋体" w:hAnsi="宋体" w:eastAsia="宋体"/>
                <w:b w:val="0"/>
                <w:sz w:val="24"/>
                <w:szCs w:val="24"/>
              </w:rPr>
              <w:t>金融（专业硕士）</w:t>
            </w:r>
          </w:p>
        </w:tc>
      </w:tr>
      <w:tr w14:paraId="105F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4320" w:type="dxa"/>
          </w:tcPr>
          <w:p w14:paraId="6C5FC31D">
            <w:pPr>
              <w:spacing w:after="0" w:line="240" w:lineRule="auto"/>
              <w:jc w:val="center"/>
              <w:rPr>
                <w:sz w:val="24"/>
                <w:szCs w:val="24"/>
              </w:rPr>
            </w:pPr>
            <w:r>
              <w:rPr>
                <w:rFonts w:ascii="宋体" w:hAnsi="宋体" w:eastAsia="宋体"/>
                <w:b w:val="0"/>
                <w:sz w:val="24"/>
                <w:szCs w:val="24"/>
              </w:rPr>
              <w:t>提交日期</w:t>
            </w:r>
          </w:p>
        </w:tc>
        <w:tc>
          <w:tcPr>
            <w:tcW w:w="4320" w:type="dxa"/>
          </w:tcPr>
          <w:p w14:paraId="6E0F856C">
            <w:pPr>
              <w:spacing w:after="0" w:line="240" w:lineRule="auto"/>
              <w:jc w:val="center"/>
              <w:rPr>
                <w:sz w:val="24"/>
                <w:szCs w:val="24"/>
              </w:rPr>
            </w:pPr>
            <w:r>
              <w:rPr>
                <w:rFonts w:ascii="宋体" w:hAnsi="宋体" w:eastAsia="宋体"/>
                <w:b w:val="0"/>
                <w:sz w:val="24"/>
                <w:szCs w:val="24"/>
              </w:rPr>
              <w:t>2026 年 10 月（期中）</w:t>
            </w:r>
          </w:p>
        </w:tc>
      </w:tr>
    </w:tbl>
    <w:p w14:paraId="50DBD9B8">
      <w:pPr>
        <w:pStyle w:val="4"/>
        <w:jc w:val="both"/>
        <w:rPr>
          <w:rFonts w:ascii="宋体" w:hAnsi="宋体" w:eastAsia="宋体"/>
          <w:b/>
          <w:sz w:val="28"/>
          <w:szCs w:val="28"/>
        </w:rPr>
      </w:pPr>
    </w:p>
    <w:p w14:paraId="726D285E"/>
    <w:p w14:paraId="64EE4B14">
      <w:pPr>
        <w:pStyle w:val="4"/>
        <w:jc w:val="center"/>
        <w:rPr>
          <w:rFonts w:ascii="宋体" w:hAnsi="宋体" w:eastAsia="宋体"/>
          <w:b/>
          <w:sz w:val="28"/>
          <w:szCs w:val="28"/>
        </w:rPr>
      </w:pPr>
      <w:r>
        <w:rPr>
          <w:rFonts w:ascii="宋体" w:hAnsi="宋体" w:eastAsia="宋体"/>
          <w:b/>
          <w:sz w:val="28"/>
          <w:szCs w:val="28"/>
        </w:rPr>
        <w:t>项目摘要</w:t>
      </w:r>
    </w:p>
    <w:p w14:paraId="11C223CE"/>
    <w:p w14:paraId="28253C5C">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在利率频繁波动的市场环境中，普通投资者与初学金融的学生往往只知道"利率涨、债券价格跌"的结论，却难以直观理解</w:t>
      </w:r>
      <w:r>
        <w:rPr>
          <w:rFonts w:ascii="宋体" w:hAnsi="宋体" w:eastAsia="宋体"/>
          <w:b/>
          <w:sz w:val="24"/>
        </w:rPr>
        <w:t>期限</w:t>
      </w:r>
      <w:r>
        <w:rPr>
          <w:rFonts w:ascii="宋体" w:hAnsi="宋体" w:eastAsia="宋体"/>
          <w:b w:val="0"/>
          <w:sz w:val="24"/>
        </w:rPr>
        <w:t>与</w:t>
      </w:r>
      <w:r>
        <w:rPr>
          <w:rFonts w:ascii="宋体" w:hAnsi="宋体" w:eastAsia="宋体"/>
          <w:b/>
          <w:sz w:val="24"/>
        </w:rPr>
        <w:t>票面利率</w:t>
      </w:r>
      <w:r>
        <w:rPr>
          <w:rFonts w:ascii="宋体" w:hAnsi="宋体" w:eastAsia="宋体"/>
          <w:b w:val="0"/>
          <w:sz w:val="24"/>
        </w:rPr>
        <w:t>如何决定一只债券对利率变化的敏感程度。本项目以课程第十二章"债券市场"为基础，构建一个</w:t>
      </w:r>
      <w:r>
        <w:rPr>
          <w:rFonts w:ascii="宋体" w:hAnsi="宋体" w:eastAsia="宋体"/>
          <w:b/>
          <w:sz w:val="24"/>
        </w:rPr>
        <w:t>可复现的 Excel 利率风险情景分析工具</w:t>
      </w:r>
      <w:r>
        <w:rPr>
          <w:rFonts w:ascii="宋体" w:hAnsi="宋体" w:eastAsia="宋体"/>
          <w:b w:val="0"/>
          <w:sz w:val="24"/>
        </w:rPr>
        <w:t>：用户输入债券基本要素与市场利率情景，即可自动得到债券理论价格、当期收益率、不同利率冲击下的价格涨跌幅，并通过折线图与多期限对比表，直观验证"期限越长、票面利率越低，利率风险通常越大"这一核心结论。期中交付可运行、可验证的 Excel 工作簿（V0.1–V0.2 原型）与 GitHub 仓库；期末计划升级为可交互网页，并接入真实市场利率数据。</w:t>
      </w:r>
    </w:p>
    <w:p w14:paraId="66219608">
      <w:pPr>
        <w:pStyle w:val="4"/>
        <w:rPr>
          <w:rFonts w:ascii="宋体" w:hAnsi="宋体" w:eastAsia="宋体"/>
          <w:b/>
        </w:rPr>
      </w:pPr>
    </w:p>
    <w:p w14:paraId="781EA90D">
      <w:pPr>
        <w:pStyle w:val="4"/>
        <w:rPr>
          <w:rFonts w:ascii="宋体" w:hAnsi="宋体" w:eastAsia="宋体"/>
          <w:b/>
          <w:sz w:val="28"/>
          <w:szCs w:val="28"/>
        </w:rPr>
      </w:pPr>
      <w:r>
        <w:rPr>
          <w:rFonts w:ascii="宋体" w:hAnsi="宋体" w:eastAsia="宋体"/>
          <w:b/>
          <w:sz w:val="28"/>
          <w:szCs w:val="28"/>
        </w:rPr>
        <w:t>目录</w:t>
      </w:r>
    </w:p>
    <w:p w14:paraId="67DBD089"/>
    <w:p w14:paraId="06B802AA">
      <w:pPr>
        <w:pStyle w:val="16"/>
        <w:rPr>
          <w:sz w:val="28"/>
          <w:szCs w:val="28"/>
        </w:rPr>
      </w:pPr>
      <w:r>
        <w:rPr>
          <w:rFonts w:ascii="宋体" w:hAnsi="宋体" w:eastAsia="宋体"/>
          <w:b w:val="0"/>
          <w:sz w:val="28"/>
          <w:szCs w:val="28"/>
        </w:rPr>
        <w:t>第一部分　知识点选择与问题挖掘</w:t>
      </w:r>
    </w:p>
    <w:p w14:paraId="2D176500">
      <w:pPr>
        <w:pStyle w:val="16"/>
        <w:rPr>
          <w:sz w:val="28"/>
          <w:szCs w:val="28"/>
        </w:rPr>
      </w:pPr>
      <w:r>
        <w:rPr>
          <w:rFonts w:ascii="宋体" w:hAnsi="宋体" w:eastAsia="宋体"/>
          <w:b w:val="0"/>
          <w:sz w:val="28"/>
          <w:szCs w:val="28"/>
        </w:rPr>
        <w:t>第二部分　项目原型与可访问成果</w:t>
      </w:r>
    </w:p>
    <w:p w14:paraId="7A273148">
      <w:pPr>
        <w:pStyle w:val="16"/>
        <w:rPr>
          <w:sz w:val="28"/>
          <w:szCs w:val="28"/>
        </w:rPr>
      </w:pPr>
      <w:r>
        <w:rPr>
          <w:rFonts w:ascii="宋体" w:hAnsi="宋体" w:eastAsia="宋体"/>
          <w:b w:val="0"/>
          <w:sz w:val="28"/>
          <w:szCs w:val="28"/>
        </w:rPr>
        <w:t>第三部分　行业对标与差距诊断</w:t>
      </w:r>
    </w:p>
    <w:p w14:paraId="01C0DC46">
      <w:pPr>
        <w:pStyle w:val="16"/>
        <w:rPr>
          <w:sz w:val="28"/>
          <w:szCs w:val="28"/>
        </w:rPr>
      </w:pPr>
      <w:r>
        <w:rPr>
          <w:rFonts w:ascii="宋体" w:hAnsi="宋体" w:eastAsia="宋体"/>
          <w:b w:val="0"/>
          <w:sz w:val="28"/>
          <w:szCs w:val="28"/>
        </w:rPr>
        <w:t>第四部分　十周持续改进计划</w:t>
      </w:r>
    </w:p>
    <w:p w14:paraId="250D9833">
      <w:pPr>
        <w:pStyle w:val="16"/>
        <w:rPr>
          <w:sz w:val="28"/>
          <w:szCs w:val="28"/>
        </w:rPr>
      </w:pPr>
      <w:r>
        <w:rPr>
          <w:rFonts w:ascii="宋体" w:hAnsi="宋体" w:eastAsia="宋体"/>
          <w:b w:val="0"/>
          <w:sz w:val="28"/>
          <w:szCs w:val="28"/>
        </w:rPr>
        <w:t>第五部分　过程证据与提交清单</w:t>
      </w:r>
    </w:p>
    <w:p w14:paraId="7E951037">
      <w:pPr>
        <w:pStyle w:val="16"/>
        <w:rPr>
          <w:sz w:val="28"/>
          <w:szCs w:val="28"/>
        </w:rPr>
      </w:pPr>
      <w:r>
        <w:rPr>
          <w:rFonts w:ascii="宋体" w:hAnsi="宋体" w:eastAsia="宋体"/>
          <w:b w:val="0"/>
          <w:sz w:val="28"/>
          <w:szCs w:val="28"/>
        </w:rPr>
        <w:t>第六部分　说明与风险提示</w:t>
      </w:r>
    </w:p>
    <w:p w14:paraId="4A72F58A">
      <w:pPr>
        <w:pStyle w:val="16"/>
        <w:rPr>
          <w:sz w:val="28"/>
          <w:szCs w:val="28"/>
        </w:rPr>
      </w:pPr>
      <w:r>
        <w:rPr>
          <w:rFonts w:ascii="宋体" w:hAnsi="宋体" w:eastAsia="宋体"/>
          <w:b w:val="0"/>
          <w:sz w:val="28"/>
          <w:szCs w:val="28"/>
        </w:rPr>
        <w:t>参考文献</w:t>
      </w:r>
    </w:p>
    <w:p w14:paraId="2106C5F4">
      <w:pPr>
        <w:pStyle w:val="16"/>
        <w:numPr>
          <w:ilvl w:val="0"/>
          <w:numId w:val="0"/>
        </w:numPr>
        <w:spacing w:after="200" w:line="276" w:lineRule="auto"/>
        <w:contextualSpacing/>
        <w:rPr>
          <w:rFonts w:ascii="宋体" w:hAnsi="宋体" w:eastAsia="宋体"/>
          <w:b w:val="0"/>
          <w:sz w:val="24"/>
        </w:rPr>
      </w:pPr>
    </w:p>
    <w:p w14:paraId="1B09DA3A">
      <w:pPr>
        <w:pStyle w:val="16"/>
        <w:numPr>
          <w:ilvl w:val="0"/>
          <w:numId w:val="0"/>
        </w:numPr>
        <w:spacing w:after="200" w:line="276" w:lineRule="auto"/>
        <w:contextualSpacing/>
        <w:rPr>
          <w:rFonts w:ascii="宋体" w:hAnsi="宋体" w:eastAsia="宋体"/>
          <w:b w:val="0"/>
          <w:sz w:val="24"/>
        </w:rPr>
      </w:pPr>
    </w:p>
    <w:p w14:paraId="531730DE">
      <w:pPr>
        <w:pStyle w:val="16"/>
        <w:numPr>
          <w:ilvl w:val="0"/>
          <w:numId w:val="0"/>
        </w:numPr>
        <w:spacing w:after="200" w:line="276" w:lineRule="auto"/>
        <w:contextualSpacing/>
        <w:rPr>
          <w:rFonts w:ascii="宋体" w:hAnsi="宋体" w:eastAsia="宋体"/>
          <w:b w:val="0"/>
          <w:sz w:val="24"/>
        </w:rPr>
      </w:pPr>
    </w:p>
    <w:p w14:paraId="42CDCFF9">
      <w:pPr>
        <w:pStyle w:val="16"/>
        <w:numPr>
          <w:ilvl w:val="0"/>
          <w:numId w:val="0"/>
        </w:numPr>
        <w:spacing w:after="200" w:line="276" w:lineRule="auto"/>
        <w:contextualSpacing/>
        <w:rPr>
          <w:rFonts w:ascii="宋体" w:hAnsi="宋体" w:eastAsia="宋体"/>
          <w:b w:val="0"/>
          <w:sz w:val="24"/>
        </w:rPr>
      </w:pPr>
    </w:p>
    <w:p w14:paraId="7F6E4262">
      <w:pPr>
        <w:pStyle w:val="16"/>
        <w:numPr>
          <w:ilvl w:val="0"/>
          <w:numId w:val="0"/>
        </w:numPr>
        <w:spacing w:after="200" w:line="276" w:lineRule="auto"/>
        <w:contextualSpacing/>
        <w:rPr>
          <w:rFonts w:ascii="宋体" w:hAnsi="宋体" w:eastAsia="宋体"/>
          <w:b w:val="0"/>
          <w:sz w:val="24"/>
        </w:rPr>
      </w:pPr>
    </w:p>
    <w:p w14:paraId="5285516F">
      <w:pPr>
        <w:pStyle w:val="16"/>
        <w:numPr>
          <w:ilvl w:val="0"/>
          <w:numId w:val="0"/>
        </w:numPr>
        <w:spacing w:after="200" w:line="276" w:lineRule="auto"/>
        <w:contextualSpacing/>
        <w:rPr>
          <w:rFonts w:ascii="宋体" w:hAnsi="宋体" w:eastAsia="宋体"/>
          <w:b w:val="0"/>
          <w:sz w:val="24"/>
        </w:rPr>
      </w:pPr>
    </w:p>
    <w:p w14:paraId="5F6E59D7">
      <w:pPr>
        <w:pStyle w:val="16"/>
        <w:numPr>
          <w:ilvl w:val="0"/>
          <w:numId w:val="0"/>
        </w:numPr>
        <w:spacing w:after="200" w:line="276" w:lineRule="auto"/>
        <w:contextualSpacing/>
        <w:rPr>
          <w:rFonts w:ascii="宋体" w:hAnsi="宋体" w:eastAsia="宋体"/>
          <w:b w:val="0"/>
          <w:sz w:val="24"/>
        </w:rPr>
      </w:pPr>
    </w:p>
    <w:p w14:paraId="22FB95D2">
      <w:pPr>
        <w:pStyle w:val="16"/>
        <w:numPr>
          <w:ilvl w:val="0"/>
          <w:numId w:val="0"/>
        </w:numPr>
        <w:spacing w:after="200" w:line="276" w:lineRule="auto"/>
        <w:contextualSpacing/>
        <w:rPr>
          <w:rFonts w:ascii="宋体" w:hAnsi="宋体" w:eastAsia="宋体"/>
          <w:b w:val="0"/>
          <w:sz w:val="24"/>
        </w:rPr>
      </w:pPr>
    </w:p>
    <w:p w14:paraId="78CC1DDB">
      <w:pPr>
        <w:pStyle w:val="16"/>
        <w:numPr>
          <w:ilvl w:val="0"/>
          <w:numId w:val="0"/>
        </w:numPr>
        <w:spacing w:after="200" w:line="276" w:lineRule="auto"/>
        <w:contextualSpacing/>
        <w:rPr>
          <w:rFonts w:ascii="宋体" w:hAnsi="宋体" w:eastAsia="宋体"/>
          <w:b w:val="0"/>
          <w:sz w:val="24"/>
        </w:rPr>
      </w:pPr>
    </w:p>
    <w:p w14:paraId="40ED4C77">
      <w:pPr>
        <w:pStyle w:val="16"/>
        <w:numPr>
          <w:ilvl w:val="0"/>
          <w:numId w:val="0"/>
        </w:numPr>
        <w:spacing w:after="200" w:line="276" w:lineRule="auto"/>
        <w:contextualSpacing/>
        <w:rPr>
          <w:rFonts w:ascii="宋体" w:hAnsi="宋体" w:eastAsia="宋体"/>
          <w:b w:val="0"/>
          <w:sz w:val="24"/>
        </w:rPr>
      </w:pPr>
    </w:p>
    <w:p w14:paraId="24A33FA2">
      <w:pPr>
        <w:pStyle w:val="16"/>
        <w:numPr>
          <w:ilvl w:val="0"/>
          <w:numId w:val="0"/>
        </w:numPr>
        <w:spacing w:after="200" w:line="276" w:lineRule="auto"/>
        <w:contextualSpacing/>
        <w:rPr>
          <w:rFonts w:ascii="宋体" w:hAnsi="宋体" w:eastAsia="宋体"/>
          <w:b w:val="0"/>
          <w:sz w:val="24"/>
        </w:rPr>
      </w:pPr>
    </w:p>
    <w:p w14:paraId="0CCE9108">
      <w:pPr>
        <w:pStyle w:val="16"/>
        <w:numPr>
          <w:ilvl w:val="0"/>
          <w:numId w:val="0"/>
        </w:numPr>
        <w:spacing w:after="200" w:line="276" w:lineRule="auto"/>
        <w:contextualSpacing/>
        <w:rPr>
          <w:rFonts w:ascii="宋体" w:hAnsi="宋体" w:eastAsia="宋体"/>
          <w:b w:val="0"/>
          <w:sz w:val="24"/>
        </w:rPr>
      </w:pPr>
    </w:p>
    <w:p w14:paraId="00B95B22">
      <w:pPr>
        <w:pStyle w:val="16"/>
        <w:numPr>
          <w:ilvl w:val="0"/>
          <w:numId w:val="0"/>
        </w:numPr>
        <w:spacing w:after="200" w:line="276" w:lineRule="auto"/>
        <w:contextualSpacing/>
        <w:rPr>
          <w:rFonts w:ascii="宋体" w:hAnsi="宋体" w:eastAsia="宋体"/>
          <w:b w:val="0"/>
          <w:sz w:val="24"/>
        </w:rPr>
      </w:pPr>
    </w:p>
    <w:p w14:paraId="093C8592">
      <w:pPr>
        <w:pStyle w:val="16"/>
        <w:numPr>
          <w:ilvl w:val="0"/>
          <w:numId w:val="0"/>
        </w:numPr>
        <w:spacing w:after="200" w:line="276" w:lineRule="auto"/>
        <w:contextualSpacing/>
        <w:rPr>
          <w:rFonts w:ascii="宋体" w:hAnsi="宋体" w:eastAsia="宋体"/>
          <w:b w:val="0"/>
          <w:sz w:val="24"/>
        </w:rPr>
      </w:pPr>
    </w:p>
    <w:p w14:paraId="4203F618">
      <w:pPr>
        <w:pStyle w:val="16"/>
        <w:numPr>
          <w:ilvl w:val="0"/>
          <w:numId w:val="0"/>
        </w:numPr>
        <w:spacing w:after="200" w:line="276" w:lineRule="auto"/>
        <w:contextualSpacing/>
        <w:rPr>
          <w:rFonts w:ascii="宋体" w:hAnsi="宋体" w:eastAsia="宋体"/>
          <w:b w:val="0"/>
          <w:sz w:val="24"/>
        </w:rPr>
      </w:pPr>
    </w:p>
    <w:p w14:paraId="467078E2">
      <w:pPr>
        <w:pStyle w:val="16"/>
        <w:numPr>
          <w:ilvl w:val="0"/>
          <w:numId w:val="0"/>
        </w:numPr>
        <w:spacing w:after="200" w:line="276" w:lineRule="auto"/>
        <w:contextualSpacing/>
        <w:rPr>
          <w:rFonts w:ascii="宋体" w:hAnsi="宋体" w:eastAsia="宋体"/>
          <w:b w:val="0"/>
          <w:sz w:val="24"/>
        </w:rPr>
      </w:pPr>
    </w:p>
    <w:p w14:paraId="0F0802BE">
      <w:pPr>
        <w:pStyle w:val="16"/>
        <w:numPr>
          <w:ilvl w:val="0"/>
          <w:numId w:val="0"/>
        </w:numPr>
        <w:spacing w:after="200" w:line="276" w:lineRule="auto"/>
        <w:contextualSpacing/>
        <w:rPr>
          <w:rFonts w:ascii="宋体" w:hAnsi="宋体" w:eastAsia="宋体"/>
          <w:b w:val="0"/>
          <w:sz w:val="24"/>
        </w:rPr>
      </w:pPr>
    </w:p>
    <w:p w14:paraId="156DCA7B">
      <w:pPr>
        <w:pStyle w:val="16"/>
        <w:numPr>
          <w:ilvl w:val="0"/>
          <w:numId w:val="0"/>
        </w:numPr>
        <w:spacing w:after="200" w:line="276" w:lineRule="auto"/>
        <w:contextualSpacing/>
        <w:rPr>
          <w:rFonts w:ascii="宋体" w:hAnsi="宋体" w:eastAsia="宋体"/>
          <w:b w:val="0"/>
          <w:sz w:val="24"/>
        </w:rPr>
      </w:pPr>
    </w:p>
    <w:p w14:paraId="2566C154">
      <w:pPr>
        <w:pStyle w:val="16"/>
        <w:numPr>
          <w:ilvl w:val="0"/>
          <w:numId w:val="0"/>
        </w:numPr>
        <w:spacing w:after="200" w:line="276" w:lineRule="auto"/>
        <w:contextualSpacing/>
        <w:rPr>
          <w:rFonts w:ascii="宋体" w:hAnsi="宋体" w:eastAsia="宋体"/>
          <w:b w:val="0"/>
          <w:sz w:val="24"/>
        </w:rPr>
      </w:pPr>
    </w:p>
    <w:p w14:paraId="7FA79EEB">
      <w:pPr>
        <w:pStyle w:val="16"/>
        <w:numPr>
          <w:ilvl w:val="0"/>
          <w:numId w:val="0"/>
        </w:numPr>
        <w:spacing w:after="200" w:line="276" w:lineRule="auto"/>
        <w:contextualSpacing/>
        <w:rPr>
          <w:rFonts w:ascii="宋体" w:hAnsi="宋体" w:eastAsia="宋体"/>
          <w:b w:val="0"/>
          <w:sz w:val="24"/>
        </w:rPr>
      </w:pPr>
    </w:p>
    <w:p w14:paraId="1260C467">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第一部分　知识点选择与问题挖掘</w:t>
      </w:r>
    </w:p>
    <w:p w14:paraId="660C613C">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本部分说明所选知识点在课程中的位置、拟研究的具体金融问题、面向的真实用户，以及项目拟形成的成果类型。</w:t>
      </w:r>
    </w:p>
    <w:p w14:paraId="2DBC0ABC">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（一）知识点定位</w:t>
      </w:r>
    </w:p>
    <w:p w14:paraId="4F5657E4">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课程位置</w:t>
      </w:r>
      <w:r>
        <w:rPr>
          <w:rFonts w:ascii="宋体" w:hAnsi="宋体" w:eastAsia="宋体"/>
          <w:b w:val="0"/>
          <w:sz w:val="24"/>
        </w:rPr>
        <w:t>：第十二章"债券市场"，对应第四节"债券定价"与第五节"债券价格与利率的关系"。</w:t>
      </w:r>
    </w:p>
    <w:p w14:paraId="0201E06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核心理论 / 机制</w:t>
      </w:r>
      <w:r>
        <w:rPr>
          <w:rFonts w:ascii="宋体" w:hAnsi="宋体" w:eastAsia="宋体"/>
          <w:b w:val="0"/>
          <w:sz w:val="24"/>
        </w:rPr>
        <w:t>：</w:t>
      </w:r>
    </w:p>
    <w:p w14:paraId="6E51B5F1">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1. </w:t>
      </w:r>
      <w:r>
        <w:rPr>
          <w:rFonts w:ascii="宋体" w:hAnsi="宋体" w:eastAsia="宋体"/>
          <w:b/>
          <w:sz w:val="24"/>
        </w:rPr>
        <w:t>债券定价现金流折现模型</w:t>
      </w:r>
      <w:r>
        <w:rPr>
          <w:rFonts w:ascii="宋体" w:hAnsi="宋体" w:eastAsia="宋体"/>
          <w:b w:val="0"/>
          <w:sz w:val="24"/>
        </w:rPr>
        <w:t>：债券价值等于其未来各期票息与到期本金按市场利率折现的现值之和，Excel 中以 `PV` 函数实现；</w:t>
      </w:r>
    </w:p>
    <w:p w14:paraId="45F6DA47">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2. </w:t>
      </w:r>
      <w:r>
        <w:rPr>
          <w:rFonts w:ascii="宋体" w:hAnsi="宋体" w:eastAsia="宋体"/>
          <w:b/>
          <w:sz w:val="24"/>
        </w:rPr>
        <w:t>当期收益率</w:t>
      </w:r>
      <w:r>
        <w:rPr>
          <w:rFonts w:ascii="宋体" w:hAnsi="宋体" w:eastAsia="宋体"/>
          <w:b w:val="0"/>
          <w:sz w:val="24"/>
        </w:rPr>
        <w:t>：年票息 ÷ 当前价格，衡量持有期的利息回报；</w:t>
      </w:r>
    </w:p>
    <w:p w14:paraId="1E21FF90">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3. </w:t>
      </w:r>
      <w:r>
        <w:rPr>
          <w:rFonts w:ascii="宋体" w:hAnsi="宋体" w:eastAsia="宋体"/>
          <w:b/>
          <w:sz w:val="24"/>
        </w:rPr>
        <w:t>债券价格与市场利率的反向变动关系</w:t>
      </w:r>
      <w:r>
        <w:rPr>
          <w:rFonts w:ascii="宋体" w:hAnsi="宋体" w:eastAsia="宋体"/>
          <w:b w:val="0"/>
          <w:sz w:val="24"/>
        </w:rPr>
        <w:t>：市场利率上升，折现率提高，既有债券价格下跌；</w:t>
      </w:r>
    </w:p>
    <w:p w14:paraId="33AA480A">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4. </w:t>
      </w:r>
      <w:r>
        <w:rPr>
          <w:rFonts w:ascii="宋体" w:hAnsi="宋体" w:eastAsia="宋体"/>
          <w:b/>
          <w:sz w:val="24"/>
        </w:rPr>
        <w:t>利率风险的决定因素</w:t>
      </w:r>
      <w:r>
        <w:rPr>
          <w:rFonts w:ascii="宋体" w:hAnsi="宋体" w:eastAsia="宋体"/>
          <w:b w:val="0"/>
          <w:sz w:val="24"/>
        </w:rPr>
        <w:t>：在其他条件相近时，</w:t>
      </w:r>
      <w:r>
        <w:rPr>
          <w:rFonts w:ascii="宋体" w:hAnsi="宋体" w:eastAsia="宋体"/>
          <w:b/>
          <w:sz w:val="24"/>
        </w:rPr>
        <w:t>期限越长、票面利率越低</w:t>
      </w:r>
      <w:r>
        <w:rPr>
          <w:rFonts w:ascii="宋体" w:hAnsi="宋体" w:eastAsia="宋体"/>
          <w:b w:val="0"/>
          <w:sz w:val="24"/>
        </w:rPr>
        <w:t>，债券价格对利率变动越敏感，利率风险越大。</w:t>
      </w:r>
    </w:p>
    <w:p w14:paraId="7A3A5E1E">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（二）具体金融问题与子问题</w:t>
      </w:r>
    </w:p>
    <w:p w14:paraId="6F525E5A">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核心问题</w:t>
      </w:r>
      <w:r>
        <w:rPr>
          <w:rFonts w:ascii="宋体" w:hAnsi="宋体" w:eastAsia="宋体"/>
          <w:b w:val="0"/>
          <w:sz w:val="24"/>
        </w:rPr>
        <w:t>：在其他条件相同或相近时，</w:t>
      </w:r>
      <w:r>
        <w:rPr>
          <w:rFonts w:ascii="宋体" w:hAnsi="宋体" w:eastAsia="宋体"/>
          <w:b/>
          <w:sz w:val="24"/>
        </w:rPr>
        <w:t>期限和票面利率如何影响债券面对利率变化时的价格波动？哪一类债券的利率风险更大？</w:t>
      </w:r>
    </w:p>
    <w:p w14:paraId="6A422ECA">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为避免空泛，将核心问题拆解为三个可讨论、可验证、可改进的子问题：</w:t>
      </w:r>
    </w:p>
    <w:p w14:paraId="460C5FC1">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可验证子问题（复现）</w:t>
      </w:r>
      <w:r>
        <w:rPr>
          <w:rFonts w:ascii="宋体" w:hAnsi="宋体" w:eastAsia="宋体"/>
          <w:b w:val="0"/>
          <w:sz w:val="24"/>
        </w:rPr>
        <w:t xml:space="preserve">：能否用 Excel 的 `PV` 函数准确复现教材例题 12‑3（面值 1,000 美元、票面利率 10%、2 年期、半年付息、市场利率 12%，理论价格应约为 </w:t>
      </w:r>
      <w:r>
        <w:rPr>
          <w:rFonts w:ascii="宋体" w:hAnsi="宋体" w:eastAsia="宋体"/>
          <w:b/>
          <w:sz w:val="24"/>
        </w:rPr>
        <w:t>965.35 美元</w:t>
      </w:r>
      <w:r>
        <w:rPr>
          <w:rFonts w:ascii="宋体" w:hAnsi="宋体" w:eastAsia="宋体"/>
          <w:b w:val="0"/>
          <w:sz w:val="24"/>
        </w:rPr>
        <w:t>），作为模型正确性的"黄金校验"？</w:t>
      </w:r>
    </w:p>
    <w:p w14:paraId="0D2B7E2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可改进子问题（量化）</w:t>
      </w:r>
      <w:r>
        <w:rPr>
          <w:rFonts w:ascii="宋体" w:hAnsi="宋体" w:eastAsia="宋体"/>
          <w:b w:val="0"/>
          <w:sz w:val="24"/>
        </w:rPr>
        <w:t>：当市场利率同向变动 1 个百分点时，2 年、5 年、10 年期债券的价格跌幅分别是多少？低票面利率债券与高票面利率债券相比，跌幅差异有多大？这种差异能否用一张对比表 / 折线图直观呈现？</w:t>
      </w:r>
    </w:p>
    <w:p w14:paraId="2BBC406C">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可讨论子问题（批判）</w:t>
      </w:r>
      <w:r>
        <w:rPr>
          <w:rFonts w:ascii="宋体" w:hAnsi="宋体" w:eastAsia="宋体"/>
          <w:b w:val="0"/>
          <w:sz w:val="24"/>
        </w:rPr>
        <w:t>：教材结论"期限长、票息低 → 利率风险大"背后的机制是什么？它与"久期"概念有何联系？在什么边界条件下该结论可能不成立（如含权债、浮息债）？</w:t>
      </w:r>
    </w:p>
    <w:p w14:paraId="37CC5504">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（三）真实场景、行业需求与目标用户</w:t>
      </w:r>
    </w:p>
    <w:p w14:paraId="2BB93B06">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真实场景</w:t>
      </w:r>
      <w:r>
        <w:rPr>
          <w:rFonts w:ascii="宋体" w:hAnsi="宋体" w:eastAsia="宋体"/>
          <w:b w:val="0"/>
          <w:sz w:val="24"/>
        </w:rPr>
        <w:t>：央行货币政策调整、市场利率上行时，个人投资者持有的债券基金 / 银行理财净值回撤，但多数人无法解释"为什么我这只债跌得比那只多"。</w:t>
      </w:r>
    </w:p>
    <w:p w14:paraId="204BE6DD">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目标用户</w:t>
      </w:r>
      <w:r>
        <w:rPr>
          <w:rFonts w:ascii="宋体" w:hAnsi="宋体" w:eastAsia="宋体"/>
          <w:b w:val="0"/>
          <w:sz w:val="24"/>
        </w:rPr>
        <w:t>：</w:t>
      </w:r>
    </w:p>
    <w:p w14:paraId="6A93687D">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1. </w:t>
      </w:r>
      <w:r>
        <w:rPr>
          <w:rFonts w:ascii="宋体" w:hAnsi="宋体" w:eastAsia="宋体"/>
          <w:b/>
          <w:sz w:val="24"/>
        </w:rPr>
        <w:t>刚接触债券投资的学生</w:t>
      </w:r>
      <w:r>
        <w:rPr>
          <w:rFonts w:ascii="宋体" w:hAnsi="宋体" w:eastAsia="宋体"/>
          <w:b w:val="0"/>
          <w:sz w:val="24"/>
        </w:rPr>
        <w:t>：需要把抽象的定价公式变成可操作的数值实验；</w:t>
      </w:r>
    </w:p>
    <w:p w14:paraId="780B7082">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2. </w:t>
      </w:r>
      <w:r>
        <w:rPr>
          <w:rFonts w:ascii="宋体" w:hAnsi="宋体" w:eastAsia="宋体"/>
          <w:b/>
          <w:sz w:val="24"/>
        </w:rPr>
        <w:t>个人投资者</w:t>
      </w:r>
      <w:r>
        <w:rPr>
          <w:rFonts w:ascii="宋体" w:hAnsi="宋体" w:eastAsia="宋体"/>
          <w:b w:val="0"/>
          <w:sz w:val="24"/>
        </w:rPr>
        <w:t>：希望直观评估自己持仓债券对利率的敏感度；</w:t>
      </w:r>
    </w:p>
    <w:p w14:paraId="304716BA">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3. </w:t>
      </w:r>
      <w:r>
        <w:rPr>
          <w:rFonts w:ascii="宋体" w:hAnsi="宋体" w:eastAsia="宋体"/>
          <w:b/>
          <w:sz w:val="24"/>
        </w:rPr>
        <w:t>需要演示利率风险的金融从业者</w:t>
      </w:r>
      <w:r>
        <w:rPr>
          <w:rFonts w:ascii="宋体" w:hAnsi="宋体" w:eastAsia="宋体"/>
          <w:b w:val="0"/>
          <w:sz w:val="24"/>
        </w:rPr>
        <w:t>：银行理财、财富管理一线人员，需向客户通俗解释利率变动影响。</w:t>
      </w:r>
    </w:p>
    <w:p w14:paraId="720DA205">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（四）项目成果类型</w:t>
      </w:r>
    </w:p>
    <w:p w14:paraId="1AF6D184">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本项目属于任务书所列"Skill、代码或分析工具"类成果，具体形态为一个</w:t>
      </w:r>
      <w:r>
        <w:rPr>
          <w:rFonts w:ascii="宋体" w:hAnsi="宋体" w:eastAsia="宋体"/>
          <w:b/>
          <w:sz w:val="24"/>
        </w:rPr>
        <w:t>可复现的 Excel 利率风险情景分析工具</w:t>
      </w:r>
      <w:r>
        <w:rPr>
          <w:rFonts w:ascii="宋体" w:hAnsi="宋体" w:eastAsia="宋体"/>
          <w:b w:val="0"/>
          <w:sz w:val="24"/>
        </w:rPr>
        <w:t>（工作簿），配套：</w:t>
      </w:r>
    </w:p>
    <w:p w14:paraId="04533090">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GitHub / Gitee 代码仓库链接与 README 使用说明；</w:t>
      </w:r>
    </w:p>
    <w:p w14:paraId="3DE393F5">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可运行的示例工作簿（含教材例题校验）；</w:t>
      </w:r>
    </w:p>
    <w:p w14:paraId="07A48358">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期末阶段拟升级为 Streamlit / 静态网页版的可交互工具。</w:t>
      </w:r>
    </w:p>
    <w:p w14:paraId="2916AD4F">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项目边界</w:t>
      </w:r>
      <w:r>
        <w:rPr>
          <w:rFonts w:ascii="宋体" w:hAnsi="宋体" w:eastAsia="宋体"/>
          <w:b w:val="0"/>
          <w:sz w:val="24"/>
        </w:rPr>
        <w:t>：仅分析普通固定利率债券，暂不处理违约、赎回 / 回售、浮动利率与应计利息，以避免范围失控。</w:t>
      </w:r>
    </w:p>
    <w:p w14:paraId="6FDC143A">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第二部分　项目原型与可访问成果</w:t>
      </w:r>
    </w:p>
    <w:p w14:paraId="352DE5F3">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本部分说明工具选型理由、关键输入与输出、已完成的原型工作、最低交付清单，以及 AI 与金融 Skill 的使用边界。</w:t>
      </w:r>
    </w:p>
    <w:p w14:paraId="6DD18846">
      <w:pPr>
        <w:pStyle w:val="4"/>
      </w:pPr>
      <w:r>
        <w:rPr>
          <w:rFonts w:ascii="宋体" w:hAnsi="宋体" w:eastAsia="宋体"/>
          <w:b/>
        </w:rPr>
        <w:t>（一）工具选型与选择理由</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15B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1F4E78"/>
          </w:tcPr>
          <w:p w14:paraId="47359F59">
            <w:pPr>
              <w:spacing w:after="0" w:line="240" w:lineRule="auto"/>
              <w:jc w:val="center"/>
              <w:rPr>
                <w:sz w:val="21"/>
                <w:szCs w:val="21"/>
              </w:rPr>
            </w:pPr>
            <w:r>
              <w:rPr>
                <w:rFonts w:ascii="宋体" w:hAnsi="宋体" w:eastAsia="宋体"/>
                <w:b/>
                <w:color w:val="FFFFFF"/>
                <w:sz w:val="21"/>
                <w:szCs w:val="21"/>
              </w:rPr>
              <w:t>环节</w:t>
            </w:r>
          </w:p>
        </w:tc>
        <w:tc>
          <w:tcPr>
            <w:tcW w:w="2880" w:type="dxa"/>
            <w:shd w:val="clear" w:color="auto" w:fill="1F4E78"/>
          </w:tcPr>
          <w:p w14:paraId="148ABCEB">
            <w:pPr>
              <w:spacing w:after="0" w:line="240" w:lineRule="auto"/>
              <w:jc w:val="center"/>
              <w:rPr>
                <w:sz w:val="21"/>
                <w:szCs w:val="21"/>
              </w:rPr>
            </w:pPr>
            <w:r>
              <w:rPr>
                <w:rFonts w:ascii="宋体" w:hAnsi="宋体" w:eastAsia="宋体"/>
                <w:b/>
                <w:color w:val="FFFFFF"/>
                <w:sz w:val="21"/>
                <w:szCs w:val="21"/>
              </w:rPr>
              <w:t>选用工具 / 技术</w:t>
            </w:r>
          </w:p>
        </w:tc>
        <w:tc>
          <w:tcPr>
            <w:tcW w:w="2880" w:type="dxa"/>
            <w:shd w:val="clear" w:color="auto" w:fill="1F4E78"/>
          </w:tcPr>
          <w:p w14:paraId="71AB6CFD">
            <w:pPr>
              <w:spacing w:after="0" w:line="240" w:lineRule="auto"/>
              <w:jc w:val="center"/>
              <w:rPr>
                <w:sz w:val="21"/>
                <w:szCs w:val="21"/>
              </w:rPr>
            </w:pPr>
            <w:r>
              <w:rPr>
                <w:rFonts w:ascii="宋体" w:hAnsi="宋体" w:eastAsia="宋体"/>
                <w:b/>
                <w:color w:val="FFFFFF"/>
                <w:sz w:val="21"/>
                <w:szCs w:val="21"/>
              </w:rPr>
              <w:t>选择理由</w:t>
            </w:r>
          </w:p>
        </w:tc>
      </w:tr>
      <w:tr w14:paraId="334E7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4" w:hRule="atLeast"/>
        </w:trPr>
        <w:tc>
          <w:tcPr>
            <w:tcW w:w="2880" w:type="dxa"/>
          </w:tcPr>
          <w:p w14:paraId="06764375">
            <w:pPr>
              <w:spacing w:after="0" w:line="240" w:lineRule="auto"/>
              <w:jc w:val="center"/>
              <w:rPr>
                <w:sz w:val="21"/>
                <w:szCs w:val="21"/>
              </w:rPr>
            </w:pPr>
            <w:r>
              <w:rPr>
                <w:rFonts w:ascii="宋体" w:hAnsi="宋体" w:eastAsia="宋体"/>
                <w:b w:val="0"/>
                <w:sz w:val="21"/>
                <w:szCs w:val="21"/>
              </w:rPr>
              <w:t>核心计算</w:t>
            </w:r>
          </w:p>
        </w:tc>
        <w:tc>
          <w:tcPr>
            <w:tcW w:w="2880" w:type="dxa"/>
          </w:tcPr>
          <w:p w14:paraId="216B78DC">
            <w:pPr>
              <w:spacing w:after="0" w:line="240" w:lineRule="auto"/>
              <w:jc w:val="center"/>
              <w:rPr>
                <w:sz w:val="21"/>
                <w:szCs w:val="21"/>
              </w:rPr>
            </w:pPr>
            <w:r>
              <w:rPr>
                <w:rFonts w:ascii="宋体" w:hAnsi="宋体" w:eastAsia="宋体"/>
                <w:b w:val="0"/>
                <w:sz w:val="21"/>
                <w:szCs w:val="21"/>
              </w:rPr>
              <w:t>Microsoft Excel（主工具），`PV` 函数 + 公式拖拽</w:t>
            </w:r>
          </w:p>
        </w:tc>
        <w:tc>
          <w:tcPr>
            <w:tcW w:w="2880" w:type="dxa"/>
          </w:tcPr>
          <w:p w14:paraId="2AE283A5">
            <w:pPr>
              <w:spacing w:after="0" w:line="240" w:lineRule="auto"/>
              <w:jc w:val="center"/>
              <w:rPr>
                <w:sz w:val="21"/>
                <w:szCs w:val="21"/>
              </w:rPr>
            </w:pPr>
            <w:r>
              <w:rPr>
                <w:rFonts w:ascii="宋体" w:hAnsi="宋体" w:eastAsia="宋体"/>
                <w:b w:val="0"/>
                <w:sz w:val="21"/>
                <w:szCs w:val="21"/>
              </w:rPr>
              <w:t>金融现金流计算与动态图表的行业标配；双击即用，无需环境配置</w:t>
            </w:r>
          </w:p>
        </w:tc>
      </w:tr>
      <w:tr w14:paraId="0E3D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4" w:hRule="atLeast"/>
        </w:trPr>
        <w:tc>
          <w:tcPr>
            <w:tcW w:w="2880" w:type="dxa"/>
          </w:tcPr>
          <w:p w14:paraId="09DC12DE">
            <w:pPr>
              <w:spacing w:after="0" w:line="240" w:lineRule="auto"/>
              <w:jc w:val="center"/>
              <w:rPr>
                <w:sz w:val="21"/>
                <w:szCs w:val="21"/>
              </w:rPr>
            </w:pPr>
            <w:r>
              <w:rPr>
                <w:rFonts w:ascii="宋体" w:hAnsi="宋体" w:eastAsia="宋体"/>
                <w:b w:val="0"/>
                <w:sz w:val="21"/>
                <w:szCs w:val="21"/>
              </w:rPr>
              <w:t>版本控制</w:t>
            </w:r>
          </w:p>
        </w:tc>
        <w:tc>
          <w:tcPr>
            <w:tcW w:w="2880" w:type="dxa"/>
          </w:tcPr>
          <w:p w14:paraId="0E960407">
            <w:pPr>
              <w:spacing w:after="0" w:line="240" w:lineRule="auto"/>
              <w:jc w:val="center"/>
              <w:rPr>
                <w:sz w:val="21"/>
                <w:szCs w:val="21"/>
              </w:rPr>
            </w:pPr>
            <w:r>
              <w:rPr>
                <w:rFonts w:ascii="宋体" w:hAnsi="宋体" w:eastAsia="宋体"/>
                <w:b w:val="0"/>
                <w:sz w:val="21"/>
                <w:szCs w:val="21"/>
              </w:rPr>
              <w:t>GitHub / Gitee</w:t>
            </w:r>
          </w:p>
        </w:tc>
        <w:tc>
          <w:tcPr>
            <w:tcW w:w="2880" w:type="dxa"/>
          </w:tcPr>
          <w:p w14:paraId="3BCABA41">
            <w:pPr>
              <w:spacing w:after="0" w:line="240" w:lineRule="auto"/>
              <w:jc w:val="center"/>
              <w:rPr>
                <w:sz w:val="21"/>
                <w:szCs w:val="21"/>
              </w:rPr>
            </w:pPr>
            <w:r>
              <w:rPr>
                <w:rFonts w:ascii="宋体" w:hAnsi="宋体" w:eastAsia="宋体"/>
                <w:b w:val="0"/>
                <w:sz w:val="21"/>
                <w:szCs w:val="21"/>
              </w:rPr>
              <w:t>保留连续迭代过程，满足任务书"过程证据"要求</w:t>
            </w:r>
          </w:p>
        </w:tc>
      </w:tr>
      <w:tr w14:paraId="69F8B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4" w:hRule="atLeast"/>
        </w:trPr>
        <w:tc>
          <w:tcPr>
            <w:tcW w:w="2880" w:type="dxa"/>
          </w:tcPr>
          <w:p w14:paraId="3E843696">
            <w:pPr>
              <w:spacing w:after="0" w:line="240" w:lineRule="auto"/>
              <w:jc w:val="center"/>
              <w:rPr>
                <w:sz w:val="21"/>
                <w:szCs w:val="21"/>
              </w:rPr>
            </w:pPr>
            <w:r>
              <w:rPr>
                <w:rFonts w:ascii="宋体" w:hAnsi="宋体" w:eastAsia="宋体"/>
                <w:b w:val="0"/>
                <w:sz w:val="21"/>
                <w:szCs w:val="21"/>
              </w:rPr>
              <w:t>AI 与金融 Skill</w:t>
            </w:r>
          </w:p>
        </w:tc>
        <w:tc>
          <w:tcPr>
            <w:tcW w:w="2880" w:type="dxa"/>
          </w:tcPr>
          <w:p w14:paraId="520A11CA">
            <w:pPr>
              <w:spacing w:after="0" w:line="240" w:lineRule="auto"/>
              <w:jc w:val="center"/>
              <w:rPr>
                <w:sz w:val="21"/>
                <w:szCs w:val="21"/>
              </w:rPr>
            </w:pPr>
            <w:r>
              <w:rPr>
                <w:rFonts w:ascii="宋体" w:hAnsi="宋体" w:eastAsia="宋体"/>
                <w:b w:val="0"/>
                <w:sz w:val="21"/>
                <w:szCs w:val="21"/>
              </w:rPr>
              <w:t>技能库"56 金融 Excel 模型生成""35 中国金融市场数据查询""00 金融行业 Skills 分类索引"</w:t>
            </w:r>
          </w:p>
        </w:tc>
        <w:tc>
          <w:tcPr>
            <w:tcW w:w="2880" w:type="dxa"/>
          </w:tcPr>
          <w:p w14:paraId="67BA8655">
            <w:pPr>
              <w:spacing w:after="0" w:line="240" w:lineRule="auto"/>
              <w:jc w:val="center"/>
              <w:rPr>
                <w:sz w:val="21"/>
                <w:szCs w:val="21"/>
              </w:rPr>
            </w:pPr>
            <w:r>
              <w:rPr>
                <w:rFonts w:ascii="宋体" w:hAnsi="宋体" w:eastAsia="宋体"/>
                <w:b w:val="0"/>
                <w:sz w:val="21"/>
                <w:szCs w:val="21"/>
              </w:rPr>
              <w:t>辅助公式搭建、取数与格式整理，提升效率</w:t>
            </w:r>
          </w:p>
        </w:tc>
      </w:tr>
    </w:tbl>
    <w:p w14:paraId="01449672">
      <w:pPr>
        <w:pageBreakBefore w:val="0"/>
        <w:widowControl/>
        <w:kinsoku/>
        <w:wordWrap/>
        <w:overflowPunct/>
        <w:topLinePunct w:val="0"/>
        <w:autoSpaceDE/>
        <w:autoSpaceDN/>
        <w:bidi w:val="0"/>
        <w:adjustRightInd/>
        <w:snapToGrid/>
        <w:spacing w:line="360" w:lineRule="auto"/>
        <w:textAlignment w:val="auto"/>
        <w:rPr>
          <w:rFonts w:ascii="宋体" w:hAnsi="宋体" w:eastAsia="宋体"/>
          <w:b/>
          <w:sz w:val="24"/>
        </w:rPr>
      </w:pPr>
    </w:p>
    <w:p w14:paraId="5CAE2406">
      <w:pPr>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为什么从 Python 切换到 Excel（关键决策说明）：</w:t>
      </w:r>
    </w:p>
    <w:p w14:paraId="2BFA33BD">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在项目初期，我曾尝试用 Python（PyCharm）进行底层代码开发，但由于以下障碍被迫调整路线，并做出改用 Excel 的关键决策：</w:t>
      </w:r>
    </w:p>
    <w:p w14:paraId="11EFA1FF">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1. </w:t>
      </w:r>
      <w:r>
        <w:rPr>
          <w:rFonts w:ascii="宋体" w:hAnsi="宋体" w:eastAsia="宋体"/>
          <w:b/>
          <w:sz w:val="24"/>
        </w:rPr>
        <w:t>规避环境配置障碍</w:t>
      </w:r>
      <w:r>
        <w:rPr>
          <w:rFonts w:ascii="宋体" w:hAnsi="宋体" w:eastAsia="宋体"/>
          <w:b w:val="0"/>
          <w:sz w:val="24"/>
        </w:rPr>
        <w:t>：本地 Python 依赖库（尤其是画图相关包）安装不全、版本兼容性问题频发，代码在本人环境报错、在他处难以复现，阻塞了原型交付；</w:t>
      </w:r>
    </w:p>
    <w:p w14:paraId="476EF372">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2. </w:t>
      </w:r>
      <w:r>
        <w:rPr>
          <w:rFonts w:ascii="宋体" w:hAnsi="宋体" w:eastAsia="宋体"/>
          <w:b/>
          <w:sz w:val="24"/>
        </w:rPr>
        <w:t>保证高可复现性</w:t>
      </w:r>
      <w:r>
        <w:rPr>
          <w:rFonts w:ascii="宋体" w:hAnsi="宋体" w:eastAsia="宋体"/>
          <w:b w:val="0"/>
          <w:sz w:val="24"/>
        </w:rPr>
        <w:t>：Excel 工作簿"双击即可运行"，评审教师、同学无需任何环境配置即可核验，符合课程"可访问、可验证、可展示"的硬性要求；</w:t>
      </w:r>
    </w:p>
    <w:p w14:paraId="4D759736">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3. </w:t>
      </w:r>
      <w:r>
        <w:rPr>
          <w:rFonts w:ascii="宋体" w:hAnsi="宋体" w:eastAsia="宋体"/>
          <w:b/>
          <w:sz w:val="24"/>
        </w:rPr>
        <w:t>符合行业实际工作流</w:t>
      </w:r>
      <w:r>
        <w:rPr>
          <w:rFonts w:ascii="宋体" w:hAnsi="宋体" w:eastAsia="宋体"/>
          <w:b w:val="0"/>
          <w:sz w:val="24"/>
        </w:rPr>
        <w:t>：`PV` 函数 + 动态图表是金融机构实务中建模、情景模拟的标准做法，成果更贴近真实工作场景；</w:t>
      </w:r>
    </w:p>
    <w:p w14:paraId="3BA775E5">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4. </w:t>
      </w:r>
      <w:r>
        <w:rPr>
          <w:rFonts w:ascii="宋体" w:hAnsi="宋体" w:eastAsia="宋体"/>
          <w:b/>
          <w:sz w:val="24"/>
        </w:rPr>
        <w:t>可视化更顺手</w:t>
      </w:r>
      <w:r>
        <w:rPr>
          <w:rFonts w:ascii="宋体" w:hAnsi="宋体" w:eastAsia="宋体"/>
          <w:b w:val="0"/>
          <w:sz w:val="24"/>
        </w:rPr>
        <w:t>：Python 画图包安装不全导致"汇不出图片"，而 Excel 的数据验证表 + 公式拖拽可即时生成利率敏感性动态折线图，交互响应更快。</w:t>
      </w:r>
    </w:p>
    <w:p w14:paraId="1D8CF48C">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（二）关键输入与输出</w:t>
      </w:r>
    </w:p>
    <w:p w14:paraId="2ECA38A2">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关键输入</w:t>
      </w:r>
      <w:r>
        <w:rPr>
          <w:rFonts w:ascii="宋体" w:hAnsi="宋体" w:eastAsia="宋体"/>
          <w:b w:val="0"/>
          <w:sz w:val="24"/>
        </w:rPr>
        <w:t>：债券面值、票面利率、剩余期限（年）、每年付息次数、当前市场利率、利率变动情景（如 −1%、−0.5%、0、+0.5%、+1%）。</w:t>
      </w:r>
    </w:p>
    <w:p w14:paraId="6D950EB2">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关键输出</w:t>
      </w:r>
      <w:r>
        <w:rPr>
          <w:rFonts w:ascii="宋体" w:hAnsi="宋体" w:eastAsia="宋体"/>
          <w:b w:val="0"/>
          <w:sz w:val="24"/>
        </w:rPr>
        <w:t>：</w:t>
      </w:r>
    </w:p>
    <w:p w14:paraId="399FE343">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1. 债券理论价格；</w:t>
      </w:r>
    </w:p>
    <w:p w14:paraId="00B5B976">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2. 当期收益率；</w:t>
      </w:r>
    </w:p>
    <w:p w14:paraId="1986C9C7">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3. 平价 / 溢价 / 折价状态判定；</w:t>
      </w:r>
    </w:p>
    <w:p w14:paraId="3E953253">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4. 利率变化后的新价格；</w:t>
      </w:r>
    </w:p>
    <w:p w14:paraId="19219E31">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5. 价格涨跌幅对比表（利率情景分析表）；</w:t>
      </w:r>
    </w:p>
    <w:p w14:paraId="64DFB6BA">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6. "利率变化—债券价格"敏感性折线图；</w:t>
      </w:r>
    </w:p>
    <w:p w14:paraId="088D2E4C">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7. 不同期限债券（2 年 / 5 年 / 10 年）的利率敏感性对比表。</w:t>
      </w:r>
    </w:p>
    <w:p w14:paraId="527DB809">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（三）已完成的具体工作</w:t>
      </w:r>
    </w:p>
    <w:p w14:paraId="1CA8213C">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截至期中，已交付从"想法"到"可运行最小原型"的第一步：</w:t>
      </w:r>
    </w:p>
    <w:p w14:paraId="091E5DF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定价模型</w:t>
      </w:r>
      <w:r>
        <w:rPr>
          <w:rFonts w:ascii="宋体" w:hAnsi="宋体" w:eastAsia="宋体"/>
          <w:b w:val="0"/>
          <w:sz w:val="24"/>
        </w:rPr>
        <w:t>：独立搭建 Excel 定价模型，使用 `PV` 函数实现半年付息债券的现金流折现；</w:t>
      </w:r>
    </w:p>
    <w:p w14:paraId="4303831D">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教材例题验证</w:t>
      </w:r>
      <w:r>
        <w:rPr>
          <w:rFonts w:ascii="宋体" w:hAnsi="宋体" w:eastAsia="宋体"/>
          <w:b w:val="0"/>
          <w:sz w:val="24"/>
        </w:rPr>
        <w:t>：成功复现课件例题 12‑3——面值 1,000 美元、票面利率 10%、2 年期、半年付息、市场利率 12%，</w:t>
      </w:r>
      <w:r>
        <w:rPr>
          <w:rFonts w:ascii="宋体" w:hAnsi="宋体" w:eastAsia="宋体"/>
          <w:b/>
          <w:sz w:val="24"/>
        </w:rPr>
        <w:t>计算结果 965.35 美元</w:t>
      </w:r>
      <w:r>
        <w:rPr>
          <w:rFonts w:ascii="宋体" w:hAnsi="宋体" w:eastAsia="宋体"/>
          <w:b w:val="0"/>
          <w:sz w:val="24"/>
        </w:rPr>
        <w:t>，与教材一致；</w:t>
      </w:r>
    </w:p>
    <w:p w14:paraId="7DB1E63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利率情景分析表</w:t>
      </w:r>
      <w:r>
        <w:rPr>
          <w:rFonts w:ascii="宋体" w:hAnsi="宋体" w:eastAsia="宋体"/>
          <w:b w:val="0"/>
          <w:sz w:val="24"/>
        </w:rPr>
        <w:t>：基于输入情景（−1% 至 +1%）自动计算新市场利率、新价格与涨跌幅；</w:t>
      </w:r>
    </w:p>
    <w:p w14:paraId="0D8401A8">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期限敏感性对比</w:t>
      </w:r>
      <w:r>
        <w:rPr>
          <w:rFonts w:ascii="宋体" w:hAnsi="宋体" w:eastAsia="宋体"/>
          <w:b w:val="0"/>
          <w:sz w:val="24"/>
        </w:rPr>
        <w:t>：构造 2 年 / 5 年 / 10 年期债券在同一利率冲击（如 12%→13%）下的价格对比，验证"10 年期债券跌幅远大于 2 年期，期限越长利率风险越大"；</w:t>
      </w:r>
    </w:p>
    <w:p w14:paraId="674586A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可视化</w:t>
      </w:r>
      <w:r>
        <w:rPr>
          <w:rFonts w:ascii="宋体" w:hAnsi="宋体" w:eastAsia="宋体"/>
          <w:b w:val="0"/>
          <w:sz w:val="24"/>
        </w:rPr>
        <w:t>：通过数据验证表与公式拖拽生成动态敏感性折线图；</w:t>
      </w:r>
    </w:p>
    <w:p w14:paraId="728EC5C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当前成果</w:t>
      </w:r>
      <w:r>
        <w:rPr>
          <w:rFonts w:ascii="宋体" w:hAnsi="宋体" w:eastAsia="宋体"/>
          <w:b w:val="0"/>
          <w:sz w:val="24"/>
        </w:rPr>
        <w:t>：一个集债券定价、当期收益率、多情景分析、期限对比图表于一体的 Excel 工作簿（V0.1 原型）。</w:t>
      </w:r>
    </w:p>
    <w:p w14:paraId="369F69AC">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访问路径</w:t>
      </w:r>
      <w:r>
        <w:rPr>
          <w:rFonts w:ascii="宋体" w:hAnsi="宋体" w:eastAsia="宋体"/>
          <w:b w:val="0"/>
          <w:sz w:val="24"/>
        </w:rPr>
        <w:t>：</w:t>
      </w:r>
      <w:r>
        <w:rPr>
          <w:rFonts w:ascii="宋体" w:hAnsi="宋体" w:eastAsia="宋体"/>
          <w:b w:val="0"/>
          <w:sz w:val="24"/>
        </w:rPr>
        <w:fldChar w:fldCharType="begin"/>
      </w:r>
      <w:r>
        <w:rPr>
          <w:rFonts w:ascii="宋体" w:hAnsi="宋体" w:eastAsia="宋体"/>
          <w:b w:val="0"/>
          <w:sz w:val="24"/>
        </w:rPr>
        <w:instrText xml:space="preserve"> HYPERLINK "https://github.com/meinvting/Bond-Rate-Risk-Analyzer" </w:instrText>
      </w:r>
      <w:r>
        <w:rPr>
          <w:rFonts w:ascii="宋体" w:hAnsi="宋体" w:eastAsia="宋体"/>
          <w:b w:val="0"/>
          <w:sz w:val="24"/>
        </w:rPr>
        <w:fldChar w:fldCharType="separate"/>
      </w:r>
      <w:r>
        <w:rPr>
          <w:rStyle w:val="135"/>
          <w:rFonts w:ascii="宋体" w:hAnsi="宋体" w:eastAsia="宋体"/>
          <w:b w:val="0"/>
          <w:sz w:val="24"/>
        </w:rPr>
        <w:t>https://github.com/meinvting/Bond-Rate-Risk-Analyzer</w:t>
      </w:r>
      <w:r>
        <w:rPr>
          <w:rFonts w:ascii="宋体" w:hAnsi="宋体" w:eastAsia="宋体"/>
          <w:b w:val="0"/>
          <w:sz w:val="24"/>
        </w:rPr>
        <w:fldChar w:fldCharType="end"/>
      </w:r>
      <w:r>
        <w:rPr>
          <w:rFonts w:ascii="宋体" w:hAnsi="宋体" w:eastAsia="宋体"/>
          <w:b w:val="0"/>
          <w:sz w:val="24"/>
        </w:rPr>
        <w:t>。</w:t>
      </w:r>
    </w:p>
    <w:p w14:paraId="473EE00A">
      <w:pPr>
        <w:pStyle w:val="4"/>
      </w:pPr>
      <w:r>
        <w:rPr>
          <w:rFonts w:ascii="宋体" w:hAnsi="宋体" w:eastAsia="宋体"/>
          <w:b/>
        </w:rPr>
        <w:t>（四）最低交付清单（对应"Skill / 代码或分析工具"类）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4DA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1F4E78"/>
          </w:tcPr>
          <w:p w14:paraId="243F94A2">
            <w:pPr>
              <w:spacing w:after="0" w:line="240" w:lineRule="auto"/>
              <w:jc w:val="center"/>
              <w:rPr>
                <w:sz w:val="21"/>
                <w:szCs w:val="21"/>
              </w:rPr>
            </w:pPr>
            <w:r>
              <w:rPr>
                <w:rFonts w:ascii="宋体" w:hAnsi="宋体" w:eastAsia="宋体"/>
                <w:b/>
                <w:color w:val="FFFFFF"/>
                <w:sz w:val="21"/>
                <w:szCs w:val="21"/>
              </w:rPr>
              <w:t>任务书要求</w:t>
            </w:r>
          </w:p>
        </w:tc>
        <w:tc>
          <w:tcPr>
            <w:tcW w:w="4320" w:type="dxa"/>
            <w:shd w:val="clear" w:color="auto" w:fill="1F4E78"/>
          </w:tcPr>
          <w:p w14:paraId="29F21CA3">
            <w:pPr>
              <w:spacing w:after="0" w:line="240" w:lineRule="auto"/>
              <w:jc w:val="center"/>
              <w:rPr>
                <w:sz w:val="21"/>
                <w:szCs w:val="21"/>
              </w:rPr>
            </w:pPr>
            <w:r>
              <w:rPr>
                <w:rFonts w:ascii="宋体" w:hAnsi="宋体" w:eastAsia="宋体"/>
                <w:b/>
                <w:color w:val="FFFFFF"/>
                <w:sz w:val="21"/>
                <w:szCs w:val="21"/>
              </w:rPr>
              <w:t>本项目交付物</w:t>
            </w:r>
          </w:p>
        </w:tc>
      </w:tr>
      <w:tr w14:paraId="3300A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1" w:hRule="atLeast"/>
        </w:trPr>
        <w:tc>
          <w:tcPr>
            <w:tcW w:w="4320" w:type="dxa"/>
          </w:tcPr>
          <w:p w14:paraId="734D6891">
            <w:pPr>
              <w:spacing w:after="0" w:line="240" w:lineRule="auto"/>
              <w:jc w:val="center"/>
              <w:rPr>
                <w:sz w:val="21"/>
                <w:szCs w:val="21"/>
              </w:rPr>
            </w:pPr>
            <w:r>
              <w:rPr>
                <w:rFonts w:ascii="宋体" w:hAnsi="宋体" w:eastAsia="宋体"/>
                <w:b w:val="0"/>
                <w:sz w:val="21"/>
                <w:szCs w:val="21"/>
              </w:rPr>
              <w:t>代码仓库链接</w:t>
            </w:r>
          </w:p>
        </w:tc>
        <w:tc>
          <w:tcPr>
            <w:tcW w:w="4320" w:type="dxa"/>
          </w:tcPr>
          <w:p w14:paraId="778218D9">
            <w:pPr>
              <w:spacing w:after="0" w:line="240" w:lineRule="auto"/>
              <w:jc w:val="center"/>
              <w:rPr>
                <w:sz w:val="21"/>
                <w:szCs w:val="21"/>
              </w:rPr>
            </w:pPr>
            <w:r>
              <w:rPr>
                <w:rFonts w:ascii="宋体" w:hAnsi="宋体" w:eastAsia="宋体"/>
                <w:b w:val="0"/>
                <w:sz w:val="21"/>
                <w:szCs w:val="21"/>
              </w:rPr>
              <w:t>GitHub / Gitee 公开仓库（期中先交付原型版）</w:t>
            </w:r>
          </w:p>
        </w:tc>
      </w:tr>
      <w:tr w14:paraId="42E7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320" w:type="dxa"/>
          </w:tcPr>
          <w:p w14:paraId="786F9B15">
            <w:pPr>
              <w:spacing w:after="0" w:line="240" w:lineRule="auto"/>
              <w:jc w:val="center"/>
              <w:rPr>
                <w:sz w:val="21"/>
                <w:szCs w:val="21"/>
              </w:rPr>
            </w:pPr>
            <w:r>
              <w:rPr>
                <w:rFonts w:ascii="宋体" w:hAnsi="宋体" w:eastAsia="宋体"/>
                <w:b w:val="0"/>
                <w:sz w:val="21"/>
                <w:szCs w:val="21"/>
              </w:rPr>
              <w:t>README 使用说明</w:t>
            </w:r>
          </w:p>
        </w:tc>
        <w:tc>
          <w:tcPr>
            <w:tcW w:w="4320" w:type="dxa"/>
          </w:tcPr>
          <w:p w14:paraId="1BFA85C7">
            <w:pPr>
              <w:spacing w:after="0" w:line="240" w:lineRule="auto"/>
              <w:jc w:val="center"/>
              <w:rPr>
                <w:sz w:val="21"/>
                <w:szCs w:val="21"/>
              </w:rPr>
            </w:pPr>
            <w:r>
              <w:rPr>
                <w:rFonts w:ascii="宋体" w:hAnsi="宋体" w:eastAsia="宋体"/>
                <w:b w:val="0"/>
                <w:sz w:val="21"/>
                <w:szCs w:val="21"/>
              </w:rPr>
              <w:t>含输入字段说明、例题 12‑3 校验步骤、情景分析方法</w:t>
            </w:r>
          </w:p>
        </w:tc>
      </w:tr>
      <w:tr w14:paraId="52AD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4320" w:type="dxa"/>
          </w:tcPr>
          <w:p w14:paraId="248991C5">
            <w:pPr>
              <w:spacing w:after="0" w:line="240" w:lineRule="auto"/>
              <w:jc w:val="center"/>
              <w:rPr>
                <w:sz w:val="21"/>
                <w:szCs w:val="21"/>
              </w:rPr>
            </w:pPr>
            <w:r>
              <w:rPr>
                <w:rFonts w:ascii="宋体" w:hAnsi="宋体" w:eastAsia="宋体"/>
                <w:b w:val="0"/>
                <w:sz w:val="21"/>
                <w:szCs w:val="21"/>
              </w:rPr>
              <w:t>可运行 / 可复现示例</w:t>
            </w:r>
          </w:p>
        </w:tc>
        <w:tc>
          <w:tcPr>
            <w:tcW w:w="4320" w:type="dxa"/>
          </w:tcPr>
          <w:p w14:paraId="27F560D1">
            <w:pPr>
              <w:spacing w:after="0" w:line="240" w:lineRule="auto"/>
              <w:jc w:val="center"/>
              <w:rPr>
                <w:sz w:val="21"/>
                <w:szCs w:val="21"/>
              </w:rPr>
            </w:pPr>
            <w:r>
              <w:rPr>
                <w:rFonts w:ascii="宋体" w:hAnsi="宋体" w:eastAsia="宋体"/>
                <w:b w:val="0"/>
                <w:sz w:val="21"/>
                <w:szCs w:val="21"/>
              </w:rPr>
              <w:t>含例题 12‑3 校验单元格的工作簿文件</w:t>
            </w:r>
          </w:p>
        </w:tc>
      </w:tr>
    </w:tbl>
    <w:p w14:paraId="2E282EC3">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（五）AI 与金融 Skill 的使用边界</w:t>
      </w:r>
    </w:p>
    <w:p w14:paraId="1490E2A4">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交给 AI 与 Skill</w:t>
      </w:r>
      <w:r>
        <w:rPr>
          <w:rFonts w:ascii="宋体" w:hAnsi="宋体" w:eastAsia="宋体"/>
          <w:b w:val="0"/>
          <w:sz w:val="24"/>
        </w:rPr>
        <w:t>：公式搭建辅助、图表配置调试、README 初稿生成、数据格式整理；</w:t>
      </w:r>
    </w:p>
    <w:p w14:paraId="0EAFA78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必须由本人判断</w:t>
      </w:r>
      <w:r>
        <w:rPr>
          <w:rFonts w:ascii="宋体" w:hAnsi="宋体" w:eastAsia="宋体"/>
          <w:b w:val="0"/>
          <w:sz w:val="24"/>
        </w:rPr>
        <w:t>：选题与问题界定、比较情景的设定、对照债券的选择、教材例题的核对、公式逻辑检查、结果的经济学解释；</w:t>
      </w:r>
    </w:p>
    <w:p w14:paraId="15011E06">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可验证性保障</w:t>
      </w:r>
      <w:r>
        <w:rPr>
          <w:rFonts w:ascii="宋体" w:hAnsi="宋体" w:eastAsia="宋体"/>
          <w:b w:val="0"/>
          <w:sz w:val="24"/>
        </w:rPr>
        <w:t>：所有关键结论均可回溯到教材例题或显式假设；AI / Skill 生成内容经本人核对后保留，并在提交材料中注明 AI 参与环节。</w:t>
      </w:r>
    </w:p>
    <w:p w14:paraId="6CD5E359">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（六）期限敏感性对比表与截图说明</w:t>
      </w:r>
    </w:p>
    <w:p w14:paraId="1620C5A7">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为直观验证"期限越长、利率风险越大"这一核心结论，原型在 Excel 中构造了 2 年 / 5 年 / 10 年期三只债券，在保持面值 1,000 美元、票面利率 10%、半年付息不变的前提下，将市场利率从 12% 抬升 1 个百分点至 13%，对比各期限债券的价格反应。下方为 Excel 敏感性对比表与可视化截图（原型 V0.1 实际输出）：</w:t>
      </w:r>
    </w:p>
    <w:p w14:paraId="60B9B852">
      <w:pPr>
        <w:pageBreakBefore w:val="0"/>
        <w:widowControl/>
        <w:kinsoku/>
        <w:wordWrap/>
        <w:overflowPunct/>
        <w:topLinePunct w:val="0"/>
        <w:autoSpaceDE/>
        <w:autoSpaceDN/>
        <w:bidi w:val="0"/>
        <w:adjustRightInd/>
        <w:snapToGrid/>
        <w:spacing w:line="360" w:lineRule="auto"/>
        <w:textAlignment w:val="auto"/>
      </w:pPr>
      <w:r>
        <w:rPr>
          <w:rFonts w:ascii="宋体" w:hAnsi="宋体" w:eastAsia="宋体"/>
          <w:sz w:val="24"/>
        </w:rPr>
        <w:drawing>
          <wp:inline distT="0" distB="0" distL="114300" distR="114300">
            <wp:extent cx="5438140" cy="268986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38140" cy="2689860"/>
                    </a:xfrm>
                    <a:prstGeom prst="rect">
                      <a:avLst/>
                    </a:prstGeom>
                  </pic:spPr>
                </pic:pic>
              </a:graphicData>
            </a:graphic>
          </wp:inline>
        </w:drawing>
      </w:r>
    </w:p>
    <w:p w14:paraId="687D38B3">
      <w:pPr>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ascii="宋体" w:hAnsi="宋体" w:eastAsia="宋体"/>
          <w:b w:val="0"/>
          <w:bCs/>
          <w:sz w:val="21"/>
          <w:szCs w:val="21"/>
        </w:rPr>
      </w:pPr>
      <w:r>
        <w:rPr>
          <w:rFonts w:ascii="宋体" w:hAnsi="宋体" w:eastAsia="宋体"/>
          <w:b w:val="0"/>
          <w:bCs/>
          <w:sz w:val="21"/>
          <w:szCs w:val="21"/>
        </w:rPr>
        <w:t>期限敏感性对比表</w:t>
      </w:r>
    </w:p>
    <w:p w14:paraId="347B7CFD">
      <w:pPr>
        <w:keepNext w:val="0"/>
        <w:keepLines w:val="0"/>
        <w:pageBreakBefore w:val="0"/>
        <w:widowControl/>
        <w:kinsoku/>
        <w:wordWrap/>
        <w:overflowPunct/>
        <w:topLinePunct w:val="0"/>
        <w:autoSpaceDE/>
        <w:autoSpaceDN/>
        <w:bidi w:val="0"/>
        <w:adjustRightInd/>
        <w:snapToGrid/>
        <w:spacing w:line="276" w:lineRule="auto"/>
        <w:ind w:firstLine="0" w:firstLineChars="0"/>
        <w:textAlignment w:val="auto"/>
      </w:pPr>
      <w:r>
        <w:rPr>
          <w:rFonts w:ascii="宋体" w:hAnsi="宋体" w:eastAsia="宋体"/>
          <w:b/>
          <w:sz w:val="24"/>
        </w:rPr>
        <w:t>对比数据（市场利率 12% → 13%，面值 $1,000、票息 10%、半年付息）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318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shd w:val="clear" w:color="auto" w:fill="1F4E78"/>
          </w:tcPr>
          <w:p w14:paraId="6B435024">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期限（年）</w:t>
            </w:r>
          </w:p>
        </w:tc>
        <w:tc>
          <w:tcPr>
            <w:tcW w:w="2160" w:type="dxa"/>
            <w:shd w:val="clear" w:color="auto" w:fill="1F4E78"/>
          </w:tcPr>
          <w:p w14:paraId="1A2FC286">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原利率 12% 下价格（美元）</w:t>
            </w:r>
          </w:p>
        </w:tc>
        <w:tc>
          <w:tcPr>
            <w:tcW w:w="2160" w:type="dxa"/>
            <w:shd w:val="clear" w:color="auto" w:fill="1F4E78"/>
          </w:tcPr>
          <w:p w14:paraId="6A7111C7">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新利率 13% 下价格（美元）</w:t>
            </w:r>
          </w:p>
        </w:tc>
        <w:tc>
          <w:tcPr>
            <w:tcW w:w="2160" w:type="dxa"/>
            <w:shd w:val="clear" w:color="auto" w:fill="1F4E78"/>
          </w:tcPr>
          <w:p w14:paraId="456F60FC">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价格涨跌幅</w:t>
            </w:r>
          </w:p>
        </w:tc>
      </w:tr>
      <w:tr w14:paraId="2301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28A504">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2</w:t>
            </w:r>
          </w:p>
        </w:tc>
        <w:tc>
          <w:tcPr>
            <w:tcW w:w="2160" w:type="dxa"/>
          </w:tcPr>
          <w:p w14:paraId="063138DE">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965.35</w:t>
            </w:r>
          </w:p>
        </w:tc>
        <w:tc>
          <w:tcPr>
            <w:tcW w:w="2160" w:type="dxa"/>
          </w:tcPr>
          <w:p w14:paraId="242C17CD">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948.61</w:t>
            </w:r>
          </w:p>
        </w:tc>
        <w:tc>
          <w:tcPr>
            <w:tcW w:w="2160" w:type="dxa"/>
          </w:tcPr>
          <w:p w14:paraId="48B05988">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−1.73%</w:t>
            </w:r>
          </w:p>
        </w:tc>
      </w:tr>
      <w:tr w14:paraId="5561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9A62B9">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5</w:t>
            </w:r>
          </w:p>
        </w:tc>
        <w:tc>
          <w:tcPr>
            <w:tcW w:w="2160" w:type="dxa"/>
          </w:tcPr>
          <w:p w14:paraId="63722640">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926.40</w:t>
            </w:r>
          </w:p>
        </w:tc>
        <w:tc>
          <w:tcPr>
            <w:tcW w:w="2160" w:type="dxa"/>
          </w:tcPr>
          <w:p w14:paraId="6DBED7A2">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892.17</w:t>
            </w:r>
          </w:p>
        </w:tc>
        <w:tc>
          <w:tcPr>
            <w:tcW w:w="2160" w:type="dxa"/>
          </w:tcPr>
          <w:p w14:paraId="33C600EA">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−3.70%</w:t>
            </w:r>
          </w:p>
        </w:tc>
      </w:tr>
      <w:tr w14:paraId="72E4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E1301">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10</w:t>
            </w:r>
          </w:p>
        </w:tc>
        <w:tc>
          <w:tcPr>
            <w:tcW w:w="2160" w:type="dxa"/>
          </w:tcPr>
          <w:p w14:paraId="361EB9AB">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885.30</w:t>
            </w:r>
          </w:p>
        </w:tc>
        <w:tc>
          <w:tcPr>
            <w:tcW w:w="2160" w:type="dxa"/>
          </w:tcPr>
          <w:p w14:paraId="20DE66E6">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834.72</w:t>
            </w:r>
          </w:p>
        </w:tc>
        <w:tc>
          <w:tcPr>
            <w:tcW w:w="2160" w:type="dxa"/>
          </w:tcPr>
          <w:p w14:paraId="71B9D68F">
            <w:pPr>
              <w:keepNext w:val="0"/>
              <w:keepLines w:val="0"/>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−5.71%</w:t>
            </w:r>
          </w:p>
        </w:tc>
      </w:tr>
    </w:tbl>
    <w:p w14:paraId="7FA19102">
      <w:pPr>
        <w:keepNext w:val="0"/>
        <w:keepLines w:val="0"/>
        <w:pageBreakBefore w:val="0"/>
        <w:widowControl/>
        <w:kinsoku/>
        <w:wordWrap/>
        <w:overflowPunct/>
        <w:topLinePunct w:val="0"/>
        <w:autoSpaceDE/>
        <w:autoSpaceDN/>
        <w:bidi w:val="0"/>
        <w:adjustRightInd/>
        <w:snapToGrid/>
        <w:spacing w:line="276" w:lineRule="auto"/>
        <w:ind w:firstLine="0" w:firstLineChars="0"/>
        <w:textAlignment w:val="auto"/>
      </w:pPr>
      <w:r>
        <w:rPr>
          <w:rFonts w:ascii="宋体" w:hAnsi="宋体" w:eastAsia="宋体"/>
          <w:b/>
          <w:sz w:val="24"/>
        </w:rPr>
        <w:t>如何阅读这张截图</w:t>
      </w:r>
    </w:p>
    <w:p w14:paraId="34131141">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左侧为数据表、右侧为"价格涨跌幅"条形图，三档期限以绿 / 黄 / 红三色区分，数值标注在柱内；</w:t>
      </w:r>
    </w:p>
    <w:p w14:paraId="3E531F06">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当利率同向上升 1 个百分点时，2 年期债券价格仅下跌约 </w:t>
      </w:r>
      <w:r>
        <w:rPr>
          <w:rFonts w:ascii="宋体" w:hAnsi="宋体" w:eastAsia="宋体"/>
          <w:b/>
          <w:sz w:val="24"/>
        </w:rPr>
        <w:t>1.73%</w:t>
      </w:r>
      <w:r>
        <w:rPr>
          <w:rFonts w:ascii="宋体" w:hAnsi="宋体" w:eastAsia="宋体"/>
          <w:b w:val="0"/>
          <w:sz w:val="24"/>
        </w:rPr>
        <w:t xml:space="preserve">，而 10 年期下跌约 </w:t>
      </w:r>
      <w:r>
        <w:rPr>
          <w:rFonts w:ascii="宋体" w:hAnsi="宋体" w:eastAsia="宋体"/>
          <w:b/>
          <w:sz w:val="24"/>
        </w:rPr>
        <w:t>5.71%</w:t>
      </w:r>
      <w:r>
        <w:rPr>
          <w:rFonts w:ascii="宋体" w:hAnsi="宋体" w:eastAsia="宋体"/>
          <w:b w:val="0"/>
          <w:sz w:val="24"/>
        </w:rPr>
        <w:t>——</w:t>
      </w:r>
      <w:r>
        <w:rPr>
          <w:rFonts w:ascii="宋体" w:hAnsi="宋体" w:eastAsia="宋体"/>
          <w:b/>
          <w:sz w:val="24"/>
        </w:rPr>
        <w:t>跌幅约为 2 年期的 3.3 倍</w:t>
      </w:r>
      <w:r>
        <w:rPr>
          <w:rFonts w:ascii="宋体" w:hAnsi="宋体" w:eastAsia="宋体"/>
          <w:b w:val="0"/>
          <w:sz w:val="24"/>
        </w:rPr>
        <w:t>；</w:t>
      </w:r>
    </w:p>
    <w:p w14:paraId="516FAEBD">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这与教材结论一致：</w:t>
      </w:r>
      <w:r>
        <w:rPr>
          <w:rFonts w:ascii="宋体" w:hAnsi="宋体" w:eastAsia="宋体"/>
          <w:b/>
          <w:sz w:val="24"/>
        </w:rPr>
        <w:t>在其他条件相同的情况下，期限越长，债券对利率变动越敏感，利率风险越大</w:t>
      </w:r>
      <w:r>
        <w:rPr>
          <w:rFonts w:ascii="宋体" w:hAnsi="宋体" w:eastAsia="宋体"/>
          <w:b w:val="0"/>
          <w:sz w:val="24"/>
        </w:rPr>
        <w:t>。该现象也可用"久期"解释：久期近似等于价格对利率的弹性，期限越长久期越大。</w:t>
      </w:r>
    </w:p>
    <w:p w14:paraId="419094A3">
      <w:pPr>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与第一部分核心问题的对应</w:t>
      </w:r>
    </w:p>
    <w:p w14:paraId="3C44FE9F">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本表直接回答了第一部分提出的"量化"子问题——用 Excel 的 `PV` 函数批量计算不同期限下的价格，即可把"利率涨、价格跌"的定性结论，转化为可度量的期限敏感性对比；它同时也是期末接入真实数据后构建"期限 × 票息利率风险矩阵"的基础模块。</w:t>
      </w:r>
    </w:p>
    <w:p w14:paraId="3AA4A68D">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第三部分　行业对标与差距诊断</w:t>
      </w:r>
    </w:p>
    <w:p w14:paraId="5A4DD153">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本部分为项目选择明确的行业对标对象，识别与行业实践之间的具体差距，并给出优先改进方向。</w:t>
      </w:r>
    </w:p>
    <w:p w14:paraId="462DC650">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（一）对标对象</w:t>
      </w:r>
    </w:p>
    <w:p w14:paraId="5A166AAA">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名称</w:t>
      </w:r>
      <w:r>
        <w:rPr>
          <w:rFonts w:ascii="宋体" w:hAnsi="宋体" w:eastAsia="宋体"/>
          <w:b w:val="0"/>
          <w:sz w:val="24"/>
        </w:rPr>
        <w:t>：Calculator.net 的在线 Bond Calculator</w:t>
      </w:r>
    </w:p>
    <w:p w14:paraId="79C3713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链接</w:t>
      </w:r>
      <w:r>
        <w:rPr>
          <w:rFonts w:ascii="宋体" w:hAnsi="宋体" w:eastAsia="宋体"/>
          <w:b w:val="0"/>
          <w:sz w:val="24"/>
        </w:rPr>
        <w:t>：</w:t>
      </w:r>
      <w:r>
        <w:rPr>
          <w:rFonts w:ascii="宋体" w:hAnsi="宋体" w:eastAsia="宋体"/>
          <w:b w:val="0"/>
          <w:sz w:val="24"/>
        </w:rPr>
        <w:fldChar w:fldCharType="begin"/>
      </w:r>
      <w:r>
        <w:rPr>
          <w:rFonts w:ascii="宋体" w:hAnsi="宋体" w:eastAsia="宋体"/>
          <w:b w:val="0"/>
          <w:sz w:val="24"/>
        </w:rPr>
        <w:instrText xml:space="preserve"> HYPERLINK "https:/www.calculator.net/bond-calculator.html" </w:instrText>
      </w:r>
      <w:r>
        <w:rPr>
          <w:rFonts w:ascii="宋体" w:hAnsi="宋体" w:eastAsia="宋体"/>
          <w:b w:val="0"/>
          <w:sz w:val="24"/>
        </w:rPr>
        <w:fldChar w:fldCharType="separate"/>
      </w:r>
      <w:r>
        <w:rPr>
          <w:rStyle w:val="135"/>
          <w:rFonts w:ascii="宋体" w:hAnsi="宋体" w:eastAsia="宋体"/>
          <w:b w:val="0"/>
          <w:sz w:val="24"/>
        </w:rPr>
        <w:t>https://www.calculator.net/bond-calculator.html</w:t>
      </w:r>
      <w:r>
        <w:rPr>
          <w:rFonts w:ascii="宋体" w:hAnsi="宋体" w:eastAsia="宋体"/>
          <w:b w:val="0"/>
          <w:sz w:val="24"/>
        </w:rPr>
        <w:fldChar w:fldCharType="end"/>
      </w:r>
    </w:p>
    <w:p w14:paraId="09EC780C">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所属行业</w:t>
      </w:r>
      <w:r>
        <w:rPr>
          <w:rFonts w:ascii="宋体" w:hAnsi="宋体" w:eastAsia="宋体"/>
          <w:b w:val="0"/>
          <w:sz w:val="24"/>
        </w:rPr>
        <w:t>：金融科技 / 在线金融计算工具。</w:t>
      </w:r>
      <w:bookmarkStart w:id="0" w:name="_GoBack"/>
      <w:bookmarkEnd w:id="0"/>
    </w:p>
    <w:p w14:paraId="6059BA12">
      <w:pPr>
        <w:pStyle w:val="4"/>
        <w:pageBreakBefore w:val="0"/>
        <w:widowControl/>
        <w:kinsoku/>
        <w:wordWrap/>
        <w:overflowPunct/>
        <w:topLinePunct w:val="0"/>
        <w:autoSpaceDE/>
        <w:autoSpaceDN/>
        <w:bidi w:val="0"/>
        <w:adjustRightInd/>
        <w:snapToGrid/>
        <w:spacing w:line="360" w:lineRule="auto"/>
        <w:ind w:firstLine="522" w:firstLineChars="200"/>
        <w:textAlignment w:val="auto"/>
        <w:rPr>
          <w:rFonts w:ascii="宋体" w:hAnsi="宋体" w:eastAsia="宋体"/>
          <w:b/>
        </w:rPr>
      </w:pPr>
      <w:r>
        <w:rPr>
          <w:rFonts w:ascii="宋体" w:hAnsi="宋体" w:eastAsia="宋体"/>
          <w:b/>
        </w:rPr>
        <w:t>（二）对标对象的能力画像</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71C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320" w:type="dxa"/>
            <w:shd w:val="clear" w:color="auto" w:fill="1F4E78"/>
          </w:tcPr>
          <w:p w14:paraId="2AF1CF4D">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维度</w:t>
            </w:r>
          </w:p>
        </w:tc>
        <w:tc>
          <w:tcPr>
            <w:tcW w:w="4320" w:type="dxa"/>
            <w:shd w:val="clear" w:color="auto" w:fill="1F4E78"/>
          </w:tcPr>
          <w:p w14:paraId="3E4706CA">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color w:val="FFFFFF"/>
                <w:sz w:val="21"/>
                <w:szCs w:val="21"/>
              </w:rPr>
              <w:t>Calculator.net Bond Calculator</w:t>
            </w:r>
          </w:p>
        </w:tc>
      </w:tr>
      <w:tr w14:paraId="44592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4320" w:type="dxa"/>
          </w:tcPr>
          <w:p w14:paraId="304742D1">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核心功能</w:t>
            </w:r>
          </w:p>
        </w:tc>
        <w:tc>
          <w:tcPr>
            <w:tcW w:w="4320" w:type="dxa"/>
          </w:tcPr>
          <w:p w14:paraId="4A65B7E0">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极速债券定价与收益率计算，界面简洁</w:t>
            </w:r>
          </w:p>
        </w:tc>
      </w:tr>
      <w:tr w14:paraId="52BB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4320" w:type="dxa"/>
          </w:tcPr>
          <w:p w14:paraId="739A2999">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主要用户</w:t>
            </w:r>
          </w:p>
        </w:tc>
        <w:tc>
          <w:tcPr>
            <w:tcW w:w="4320" w:type="dxa"/>
          </w:tcPr>
          <w:p w14:paraId="172AA799">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全球个人投资者、学生、财务从业者</w:t>
            </w:r>
          </w:p>
        </w:tc>
      </w:tr>
      <w:tr w14:paraId="672C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4320" w:type="dxa"/>
          </w:tcPr>
          <w:p w14:paraId="02492D92">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数据 / 技术</w:t>
            </w:r>
          </w:p>
        </w:tc>
        <w:tc>
          <w:tcPr>
            <w:tcW w:w="4320" w:type="dxa"/>
          </w:tcPr>
          <w:p w14:paraId="5E92AF49">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纯前端在线计算，输入即出结果，无需安装</w:t>
            </w:r>
          </w:p>
        </w:tc>
      </w:tr>
      <w:tr w14:paraId="38D8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4320" w:type="dxa"/>
          </w:tcPr>
          <w:p w14:paraId="4BC2711F">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业务定位</w:t>
            </w:r>
          </w:p>
        </w:tc>
        <w:tc>
          <w:tcPr>
            <w:tcW w:w="4320" w:type="dxa"/>
          </w:tcPr>
          <w:p w14:paraId="47D1B955">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通用、轻量、高可用的金融计算器</w:t>
            </w:r>
          </w:p>
        </w:tc>
      </w:tr>
    </w:tbl>
    <w:p w14:paraId="5B7819AD">
      <w:pPr>
        <w:pStyle w:val="4"/>
        <w:pageBreakBefore w:val="0"/>
        <w:widowControl/>
        <w:kinsoku/>
        <w:wordWrap/>
        <w:overflowPunct/>
        <w:topLinePunct w:val="0"/>
        <w:autoSpaceDE/>
        <w:autoSpaceDN/>
        <w:bidi w:val="0"/>
        <w:adjustRightInd/>
        <w:snapToGrid/>
        <w:spacing w:line="360" w:lineRule="auto"/>
        <w:ind w:firstLine="522" w:firstLineChars="200"/>
        <w:textAlignment w:val="auto"/>
        <w:rPr>
          <w:rFonts w:ascii="宋体" w:hAnsi="宋体" w:eastAsia="宋体"/>
          <w:b/>
        </w:rPr>
      </w:pPr>
      <w:r>
        <w:rPr>
          <w:rFonts w:ascii="宋体" w:hAnsi="宋体" w:eastAsia="宋体"/>
          <w:b/>
        </w:rPr>
        <w:t>（三）我的项目当前已经具备什么</w:t>
      </w:r>
    </w:p>
    <w:p w14:paraId="3E271F1A">
      <w:pPr>
        <w:pStyle w:val="16"/>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基础固定利率债券定价（与对标工具同质）；</w:t>
      </w:r>
    </w:p>
    <w:p w14:paraId="7CF8F28D">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多利率变动情景模拟</w:t>
      </w:r>
      <w:r>
        <w:rPr>
          <w:rFonts w:ascii="宋体" w:hAnsi="宋体" w:eastAsia="宋体"/>
          <w:b w:val="0"/>
          <w:sz w:val="24"/>
        </w:rPr>
        <w:t>（−1% 至 +1% 一键对比），对标工具不强调；</w:t>
      </w:r>
    </w:p>
    <w:p w14:paraId="4D9151D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图形化展示</w:t>
      </w:r>
      <w:r>
        <w:rPr>
          <w:rFonts w:ascii="宋体" w:hAnsi="宋体" w:eastAsia="宋体"/>
          <w:b w:val="0"/>
          <w:sz w:val="24"/>
        </w:rPr>
        <w:t>（敏感性折线图、期限对比表）；</w:t>
      </w:r>
    </w:p>
    <w:p w14:paraId="5871515E">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教材例题验证</w:t>
      </w:r>
      <w:r>
        <w:rPr>
          <w:rFonts w:ascii="宋体" w:hAnsi="宋体" w:eastAsia="宋体"/>
          <w:b w:val="0"/>
          <w:sz w:val="24"/>
        </w:rPr>
        <w:t>（例题 12‑3 = 965.35 美元），建立教学可信度。</w:t>
      </w:r>
    </w:p>
    <w:p w14:paraId="1990AE7B">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（四）最关键差距及其原因</w:t>
      </w:r>
    </w:p>
    <w:p w14:paraId="43490B5C">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1. </w:t>
      </w:r>
      <w:r>
        <w:rPr>
          <w:rFonts w:ascii="宋体" w:hAnsi="宋体" w:eastAsia="宋体"/>
          <w:b/>
          <w:sz w:val="24"/>
        </w:rPr>
        <w:t>交互形态差距</w:t>
      </w:r>
      <w:r>
        <w:rPr>
          <w:rFonts w:ascii="宋体" w:hAnsi="宋体" w:eastAsia="宋体"/>
          <w:b w:val="0"/>
          <w:sz w:val="24"/>
        </w:rPr>
        <w:t>：对标对象是在线网页、即开即用；我的项目目前是本地 Excel 工作簿，需下载打开——原因是网页化（Streamlit / 静态托管）尚未完成；</w:t>
      </w:r>
    </w:p>
    <w:p w14:paraId="5C1A89E0">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2. </w:t>
      </w:r>
      <w:r>
        <w:rPr>
          <w:rFonts w:ascii="宋体" w:hAnsi="宋体" w:eastAsia="宋体"/>
          <w:b/>
          <w:sz w:val="24"/>
        </w:rPr>
        <w:t>数据时效性差距</w:t>
      </w:r>
      <w:r>
        <w:rPr>
          <w:rFonts w:ascii="宋体" w:hAnsi="宋体" w:eastAsia="宋体"/>
          <w:b w:val="0"/>
          <w:sz w:val="24"/>
        </w:rPr>
        <w:t>：对标工具计算灵活，我的项目尚未接入真实市场数据（如中债估值、收益率曲线）——原因是真实数据源接入需要额外的取数与清洗流程；</w:t>
      </w:r>
    </w:p>
    <w:p w14:paraId="0A997B20">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3. </w:t>
      </w:r>
      <w:r>
        <w:rPr>
          <w:rFonts w:ascii="宋体" w:hAnsi="宋体" w:eastAsia="宋体"/>
          <w:b/>
          <w:sz w:val="24"/>
        </w:rPr>
        <w:t>复杂条款差距</w:t>
      </w:r>
      <w:r>
        <w:rPr>
          <w:rFonts w:ascii="宋体" w:hAnsi="宋体" w:eastAsia="宋体"/>
          <w:b w:val="0"/>
          <w:sz w:val="24"/>
        </w:rPr>
        <w:t>：不支持应计利息、含权债、浮息债等复杂品种——原因是本期明确将范围限定在普通固定利率债券。</w:t>
      </w:r>
    </w:p>
    <w:p w14:paraId="0D2FDAC1">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（五）下一步优先弥补的差距及预期行动</w:t>
      </w:r>
    </w:p>
    <w:p w14:paraId="4F3605B5">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发挥差异化优势</w:t>
      </w:r>
      <w:r>
        <w:rPr>
          <w:rFonts w:ascii="宋体" w:hAnsi="宋体" w:eastAsia="宋体"/>
          <w:b w:val="0"/>
          <w:sz w:val="24"/>
        </w:rPr>
        <w:t>：不追求复制功能更多的计算器，而是突出"</w:t>
      </w:r>
      <w:r>
        <w:rPr>
          <w:rFonts w:ascii="宋体" w:hAnsi="宋体" w:eastAsia="宋体"/>
          <w:b/>
          <w:sz w:val="24"/>
        </w:rPr>
        <w:t>情景模拟 + 期限对比 + 教材验证</w:t>
      </w:r>
      <w:r>
        <w:rPr>
          <w:rFonts w:ascii="宋体" w:hAnsi="宋体" w:eastAsia="宋体"/>
          <w:b w:val="0"/>
          <w:sz w:val="24"/>
        </w:rPr>
        <w:t>"三位一体的教学与研究价值；</w:t>
      </w:r>
    </w:p>
    <w:p w14:paraId="57B0241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形态升级</w:t>
      </w:r>
      <w:r>
        <w:rPr>
          <w:rFonts w:ascii="宋体" w:hAnsi="宋体" w:eastAsia="宋体"/>
          <w:b w:val="0"/>
          <w:sz w:val="24"/>
        </w:rPr>
        <w:t>：下阶段用 Streamlit 框架将 Excel 底层计算逻辑转为可交互网页，缩小"交互形态差距"；</w:t>
      </w:r>
    </w:p>
    <w:p w14:paraId="0389870C">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数据补强</w:t>
      </w:r>
      <w:r>
        <w:rPr>
          <w:rFonts w:ascii="宋体" w:hAnsi="宋体" w:eastAsia="宋体"/>
          <w:b w:val="0"/>
          <w:sz w:val="24"/>
        </w:rPr>
        <w:t>：在具备条件时，借助技能库"35 中国金融市场数据查询"接入真实历史利率，缩小"数据时效性差距"，并明确标注数据来源与边界。</w:t>
      </w:r>
    </w:p>
    <w:p w14:paraId="7F9D4795">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第四部分　十周持续改进计划</w:t>
      </w:r>
    </w:p>
    <w:p w14:paraId="23DC4505">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本部分给出以两周为单元的十周迭代计划，说明各阶段任务、成果、需补充的知识与可能困难的应对，并明确期末版本与进步判定标准。</w:t>
      </w:r>
    </w:p>
    <w:p w14:paraId="1A569BEB">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（一）总体节奏</w:t>
      </w:r>
    </w:p>
    <w:p w14:paraId="7E23A0E2">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遵循"先模型与验证、再情景与对比、后网页化与用户测试"的顺序，每两周以一个可访问、可验证的阶段性成果收尾，确保迭代真实可追溯。</w:t>
      </w:r>
    </w:p>
    <w:p w14:paraId="35A0E497">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（二）分周计划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22E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8"/>
          </w:tcPr>
          <w:p w14:paraId="6673E932">
            <w:pPr>
              <w:pageBreakBefore w:val="0"/>
              <w:widowControl/>
              <w:kinsoku/>
              <w:wordWrap/>
              <w:overflowPunct/>
              <w:topLinePunct w:val="0"/>
              <w:autoSpaceDE/>
              <w:autoSpaceDN/>
              <w:bidi w:val="0"/>
              <w:adjustRightInd/>
              <w:snapToGrid/>
              <w:spacing w:after="0" w:line="276" w:lineRule="auto"/>
              <w:ind w:firstLine="0" w:firstLineChars="0"/>
              <w:textAlignment w:val="auto"/>
              <w:rPr>
                <w:sz w:val="21"/>
                <w:szCs w:val="21"/>
              </w:rPr>
            </w:pPr>
            <w:r>
              <w:rPr>
                <w:rFonts w:ascii="宋体" w:hAnsi="宋体" w:eastAsia="宋体"/>
                <w:b/>
                <w:color w:val="FFFFFF"/>
                <w:sz w:val="21"/>
                <w:szCs w:val="21"/>
              </w:rPr>
              <w:t>周次</w:t>
            </w:r>
          </w:p>
        </w:tc>
        <w:tc>
          <w:tcPr>
            <w:tcW w:w="1728" w:type="dxa"/>
            <w:shd w:val="clear" w:color="auto" w:fill="1F4E78"/>
          </w:tcPr>
          <w:p w14:paraId="4DCA4F13">
            <w:pPr>
              <w:pageBreakBefore w:val="0"/>
              <w:widowControl/>
              <w:kinsoku/>
              <w:wordWrap/>
              <w:overflowPunct/>
              <w:topLinePunct w:val="0"/>
              <w:autoSpaceDE/>
              <w:autoSpaceDN/>
              <w:bidi w:val="0"/>
              <w:adjustRightInd/>
              <w:snapToGrid/>
              <w:spacing w:after="0" w:line="276" w:lineRule="auto"/>
              <w:ind w:firstLine="0" w:firstLineChars="0"/>
              <w:textAlignment w:val="auto"/>
              <w:rPr>
                <w:sz w:val="21"/>
                <w:szCs w:val="21"/>
              </w:rPr>
            </w:pPr>
            <w:r>
              <w:rPr>
                <w:rFonts w:ascii="宋体" w:hAnsi="宋体" w:eastAsia="宋体"/>
                <w:b/>
                <w:color w:val="FFFFFF"/>
                <w:sz w:val="21"/>
                <w:szCs w:val="21"/>
              </w:rPr>
              <w:t>主要任务</w:t>
            </w:r>
          </w:p>
        </w:tc>
        <w:tc>
          <w:tcPr>
            <w:tcW w:w="1728" w:type="dxa"/>
            <w:shd w:val="clear" w:color="auto" w:fill="1F4E78"/>
          </w:tcPr>
          <w:p w14:paraId="7A041EC5">
            <w:pPr>
              <w:pageBreakBefore w:val="0"/>
              <w:widowControl/>
              <w:kinsoku/>
              <w:wordWrap/>
              <w:overflowPunct/>
              <w:topLinePunct w:val="0"/>
              <w:autoSpaceDE/>
              <w:autoSpaceDN/>
              <w:bidi w:val="0"/>
              <w:adjustRightInd/>
              <w:snapToGrid/>
              <w:spacing w:after="0" w:line="276" w:lineRule="auto"/>
              <w:ind w:firstLine="0" w:firstLineChars="0"/>
              <w:textAlignment w:val="auto"/>
              <w:rPr>
                <w:sz w:val="21"/>
                <w:szCs w:val="21"/>
              </w:rPr>
            </w:pPr>
            <w:r>
              <w:rPr>
                <w:rFonts w:ascii="宋体" w:hAnsi="宋体" w:eastAsia="宋体"/>
                <w:b/>
                <w:color w:val="FFFFFF"/>
                <w:sz w:val="21"/>
                <w:szCs w:val="21"/>
              </w:rPr>
              <w:t>阶段性成果</w:t>
            </w:r>
          </w:p>
        </w:tc>
        <w:tc>
          <w:tcPr>
            <w:tcW w:w="1728" w:type="dxa"/>
            <w:shd w:val="clear" w:color="auto" w:fill="1F4E78"/>
          </w:tcPr>
          <w:p w14:paraId="4ED727B9">
            <w:pPr>
              <w:pageBreakBefore w:val="0"/>
              <w:widowControl/>
              <w:kinsoku/>
              <w:wordWrap/>
              <w:overflowPunct/>
              <w:topLinePunct w:val="0"/>
              <w:autoSpaceDE/>
              <w:autoSpaceDN/>
              <w:bidi w:val="0"/>
              <w:adjustRightInd/>
              <w:snapToGrid/>
              <w:spacing w:after="0" w:line="276" w:lineRule="auto"/>
              <w:ind w:firstLine="0" w:firstLineChars="0"/>
              <w:textAlignment w:val="auto"/>
              <w:rPr>
                <w:sz w:val="21"/>
                <w:szCs w:val="21"/>
              </w:rPr>
            </w:pPr>
            <w:r>
              <w:rPr>
                <w:rFonts w:ascii="宋体" w:hAnsi="宋体" w:eastAsia="宋体"/>
                <w:b/>
                <w:color w:val="FFFFFF"/>
                <w:sz w:val="21"/>
                <w:szCs w:val="21"/>
              </w:rPr>
              <w:t>需补充的知识 / 数据 / 技术</w:t>
            </w:r>
          </w:p>
        </w:tc>
        <w:tc>
          <w:tcPr>
            <w:tcW w:w="1728" w:type="dxa"/>
            <w:shd w:val="clear" w:color="auto" w:fill="1F4E78"/>
          </w:tcPr>
          <w:p w14:paraId="5B7C907A">
            <w:pPr>
              <w:pageBreakBefore w:val="0"/>
              <w:widowControl/>
              <w:kinsoku/>
              <w:wordWrap/>
              <w:overflowPunct/>
              <w:topLinePunct w:val="0"/>
              <w:autoSpaceDE/>
              <w:autoSpaceDN/>
              <w:bidi w:val="0"/>
              <w:adjustRightInd/>
              <w:snapToGrid/>
              <w:spacing w:after="0" w:line="276" w:lineRule="auto"/>
              <w:ind w:firstLine="0" w:firstLineChars="0"/>
              <w:textAlignment w:val="auto"/>
              <w:rPr>
                <w:sz w:val="21"/>
                <w:szCs w:val="21"/>
              </w:rPr>
            </w:pPr>
            <w:r>
              <w:rPr>
                <w:rFonts w:ascii="宋体" w:hAnsi="宋体" w:eastAsia="宋体"/>
                <w:b/>
                <w:color w:val="FFFFFF"/>
                <w:sz w:val="21"/>
                <w:szCs w:val="21"/>
              </w:rPr>
              <w:t>可能困难与应对</w:t>
            </w:r>
          </w:p>
        </w:tc>
      </w:tr>
      <w:tr w14:paraId="3338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FA03743">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第 1–2 周</w:t>
            </w:r>
          </w:p>
        </w:tc>
        <w:tc>
          <w:tcPr>
            <w:tcW w:w="1728" w:type="dxa"/>
          </w:tcPr>
          <w:p w14:paraId="39D1F07E">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完成定价公式编写，复现教材例题 12‑3 校验</w:t>
            </w:r>
          </w:p>
        </w:tc>
        <w:tc>
          <w:tcPr>
            <w:tcW w:w="1728" w:type="dxa"/>
          </w:tcPr>
          <w:p w14:paraId="724B15C3">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V0.1：可定价的 Excel 工作簿，例题校验 = 965.35 美元</w:t>
            </w:r>
          </w:p>
        </w:tc>
        <w:tc>
          <w:tcPr>
            <w:tcW w:w="1728" w:type="dxa"/>
          </w:tcPr>
          <w:p w14:paraId="0718C51B">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债券定价理论、`PV` 函数、半年付息折现（期数 = 期限 × 付息次数）</w:t>
            </w:r>
          </w:p>
        </w:tc>
        <w:tc>
          <w:tcPr>
            <w:tcW w:w="1728" w:type="dxa"/>
          </w:tcPr>
          <w:p w14:paraId="02634B00">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付息频率与折现期数换算易错 → 用辅助列显式列出每期现金流再求和核对</w:t>
            </w:r>
          </w:p>
        </w:tc>
      </w:tr>
      <w:tr w14:paraId="7555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6B0820A">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第 3–4 周</w:t>
            </w:r>
          </w:p>
        </w:tc>
        <w:tc>
          <w:tcPr>
            <w:tcW w:w="1728" w:type="dxa"/>
          </w:tcPr>
          <w:p w14:paraId="3F82F6F3">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加入利率情景表、价格涨跌幅与敏感性折线图</w:t>
            </w:r>
          </w:p>
        </w:tc>
        <w:tc>
          <w:tcPr>
            <w:tcW w:w="1728" w:type="dxa"/>
          </w:tcPr>
          <w:p w14:paraId="643E5DDD">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V0.2：情景分析表 + 动态折线图</w:t>
            </w:r>
          </w:p>
        </w:tc>
        <w:tc>
          <w:tcPr>
            <w:tcW w:w="1728" w:type="dxa"/>
          </w:tcPr>
          <w:p w14:paraId="6727AFFB">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Excel 图表、表格结构化与名称定义</w:t>
            </w:r>
          </w:p>
        </w:tc>
        <w:tc>
          <w:tcPr>
            <w:tcW w:w="1728" w:type="dxa"/>
          </w:tcPr>
          <w:p w14:paraId="4BDBED45">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动态图表引用混乱 → 将输入区改为超级表（Table），图表绑定表列</w:t>
            </w:r>
          </w:p>
        </w:tc>
      </w:tr>
      <w:tr w14:paraId="68F7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D8F986C">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第 5–6 周</w:t>
            </w:r>
          </w:p>
        </w:tc>
        <w:tc>
          <w:tcPr>
            <w:tcW w:w="1728" w:type="dxa"/>
          </w:tcPr>
          <w:p w14:paraId="6DAD7E79">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加入 2 / 5 / 10 年不同期限、不同票面利率债券对比；完善输入区防错</w:t>
            </w:r>
          </w:p>
        </w:tc>
        <w:tc>
          <w:tcPr>
            <w:tcW w:w="1728" w:type="dxa"/>
          </w:tcPr>
          <w:p w14:paraId="086717BB">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V0.3：多期限 / 多票息对比表 + 数据验证</w:t>
            </w:r>
          </w:p>
        </w:tc>
        <w:tc>
          <w:tcPr>
            <w:tcW w:w="1728" w:type="dxa"/>
          </w:tcPr>
          <w:p w14:paraId="3F87C6D1">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利率风险理论、久期概念初步；输入错误处理（数据验证 + `IF` 容错）</w:t>
            </w:r>
          </w:p>
        </w:tc>
        <w:tc>
          <w:tcPr>
            <w:tcW w:w="1728" w:type="dxa"/>
          </w:tcPr>
          <w:p w14:paraId="3C3010E3">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极端 / 非法输入导致报错 → 设置数据验证范围与错误提示，边界值专项测试</w:t>
            </w:r>
          </w:p>
        </w:tc>
      </w:tr>
      <w:tr w14:paraId="4C8F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F209D2">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第 7–8 周</w:t>
            </w:r>
          </w:p>
        </w:tc>
        <w:tc>
          <w:tcPr>
            <w:tcW w:w="1728" w:type="dxa"/>
          </w:tcPr>
          <w:p w14:paraId="7C6AE5D7">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深化行业对标；评估接入真实利率数据或继续完善计算测试</w:t>
            </w:r>
          </w:p>
        </w:tc>
        <w:tc>
          <w:tcPr>
            <w:tcW w:w="1728" w:type="dxa"/>
          </w:tcPr>
          <w:p w14:paraId="73B3ABCF">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V0.4：对标分析报告 +（可选）真实数据接入试验</w:t>
            </w:r>
          </w:p>
        </w:tc>
        <w:tc>
          <w:tcPr>
            <w:tcW w:w="1728" w:type="dxa"/>
          </w:tcPr>
          <w:p w14:paraId="5B83CF77">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技能库"35 中国金融市场数据查询"、中债 / 行情数据源口径</w:t>
            </w:r>
          </w:p>
        </w:tc>
        <w:tc>
          <w:tcPr>
            <w:tcW w:w="1728" w:type="dxa"/>
          </w:tcPr>
          <w:p w14:paraId="485B3EE8">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数据接口不稳定 / 格式杂 → 多源备份、本地缓存、记录抓取时间与版本</w:t>
            </w:r>
          </w:p>
        </w:tc>
      </w:tr>
      <w:tr w14:paraId="77D9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5368E4">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第 9–10 周</w:t>
            </w:r>
          </w:p>
        </w:tc>
        <w:tc>
          <w:tcPr>
            <w:tcW w:w="1728" w:type="dxa"/>
          </w:tcPr>
          <w:p w14:paraId="6F117E81">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邀请同学试用，收集反馈；完善 README 与版本日志；准备期末展示</w:t>
            </w:r>
          </w:p>
        </w:tc>
        <w:tc>
          <w:tcPr>
            <w:tcW w:w="1728" w:type="dxa"/>
          </w:tcPr>
          <w:p w14:paraId="581376E7">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V1.0：含用户反馈记录、完整 README 与 CHANGELOG 的期末版</w:t>
            </w:r>
          </w:p>
        </w:tc>
        <w:tc>
          <w:tcPr>
            <w:tcW w:w="1728" w:type="dxa"/>
          </w:tcPr>
          <w:p w14:paraId="16DBF8F4">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可用性测试方法、演示与叙事技巧</w:t>
            </w:r>
          </w:p>
        </w:tc>
        <w:tc>
          <w:tcPr>
            <w:tcW w:w="1728" w:type="dxa"/>
          </w:tcPr>
          <w:p w14:paraId="26C037FE">
            <w:pPr>
              <w:pageBreakBefore w:val="0"/>
              <w:widowControl/>
              <w:kinsoku/>
              <w:wordWrap/>
              <w:overflowPunct/>
              <w:topLinePunct w:val="0"/>
              <w:autoSpaceDE/>
              <w:autoSpaceDN/>
              <w:bidi w:val="0"/>
              <w:adjustRightInd/>
              <w:snapToGrid/>
              <w:spacing w:after="0" w:line="276" w:lineRule="auto"/>
              <w:ind w:firstLine="0" w:firstLineChars="0"/>
              <w:jc w:val="center"/>
              <w:textAlignment w:val="auto"/>
              <w:rPr>
                <w:sz w:val="21"/>
                <w:szCs w:val="21"/>
              </w:rPr>
            </w:pPr>
            <w:r>
              <w:rPr>
                <w:rFonts w:ascii="宋体" w:hAnsi="宋体" w:eastAsia="宋体"/>
                <w:b w:val="0"/>
                <w:sz w:val="21"/>
                <w:szCs w:val="21"/>
              </w:rPr>
              <w:t>收尾仓促 → 提前一周冻结功能，仅做打磨与文档</w:t>
            </w:r>
          </w:p>
        </w:tc>
      </w:tr>
    </w:tbl>
    <w:p w14:paraId="383590E0">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（三）需补充的课程知识、数据与技术</w:t>
      </w:r>
    </w:p>
    <w:p w14:paraId="7C1F75A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课程知识</w:t>
      </w:r>
      <w:r>
        <w:rPr>
          <w:rFonts w:ascii="宋体" w:hAnsi="宋体" w:eastAsia="宋体"/>
          <w:b w:val="0"/>
          <w:sz w:val="24"/>
        </w:rPr>
        <w:t>：债券定价与收益率（第十二章）、利率风险与久期概念、现金流折现原理；</w:t>
      </w:r>
    </w:p>
    <w:p w14:paraId="0A31CDF7">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数据资料</w:t>
      </w:r>
      <w:r>
        <w:rPr>
          <w:rFonts w:ascii="宋体" w:hAnsi="宋体" w:eastAsia="宋体"/>
          <w:b w:val="0"/>
          <w:sz w:val="24"/>
        </w:rPr>
        <w:t>：教材例题与习题、真实市场利率（中债收益率曲线、国债到期收益率）作为对照；</w:t>
      </w:r>
    </w:p>
    <w:p w14:paraId="6782E35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技术能力</w:t>
      </w:r>
      <w:r>
        <w:rPr>
          <w:rFonts w:ascii="宋体" w:hAnsi="宋体" w:eastAsia="宋体"/>
          <w:b w:val="0"/>
          <w:sz w:val="24"/>
        </w:rPr>
        <w:t>：Excel 高级图表与数据验证、GitHub 版本管理、Streamlit / 静态网页部署、Python 数据抓取与清洗；</w:t>
      </w:r>
    </w:p>
    <w:p w14:paraId="26F314C7">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行业资料</w:t>
      </w:r>
      <w:r>
        <w:rPr>
          <w:rFonts w:ascii="宋体" w:hAnsi="宋体" w:eastAsia="宋体"/>
          <w:b w:val="0"/>
          <w:sz w:val="24"/>
        </w:rPr>
        <w:t>：Calculator.net 等在线债券计算器的功能设计、金融素养教育类工具的交互范式。</w:t>
      </w:r>
    </w:p>
    <w:p w14:paraId="6044A104">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（四）新增、修改与验证</w:t>
      </w:r>
    </w:p>
    <w:p w14:paraId="1CB93B5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新增</w:t>
      </w:r>
      <w:r>
        <w:rPr>
          <w:rFonts w:ascii="宋体" w:hAnsi="宋体" w:eastAsia="宋体"/>
          <w:b w:val="0"/>
          <w:sz w:val="24"/>
        </w:rPr>
        <w:t>：不同票面利率（高 / 低）债券的横向对比；期限 × 票息的"利率风险矩阵"；可能的汇率 / 通胀情景讨论；</w:t>
      </w:r>
    </w:p>
    <w:p w14:paraId="56C28DA9">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修改</w:t>
      </w:r>
      <w:r>
        <w:rPr>
          <w:rFonts w:ascii="宋体" w:hAnsi="宋体" w:eastAsia="宋体"/>
          <w:b w:val="0"/>
          <w:sz w:val="24"/>
        </w:rPr>
        <w:t>：依据同学试用反馈调整输入引导与图表标注；修正可能造成误解的简化表述；</w:t>
      </w:r>
    </w:p>
    <w:p w14:paraId="2F7DFD3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验证</w:t>
      </w:r>
      <w:r>
        <w:rPr>
          <w:rFonts w:ascii="宋体" w:hAnsi="宋体" w:eastAsia="宋体"/>
          <w:b w:val="0"/>
          <w:sz w:val="24"/>
        </w:rPr>
        <w:t>：验证例题 12‑3 在不同付息频率下结果一致；验证期限越长跌幅越大的结论在多个冲击幅度下稳健；验证接入的真实数据与教材口径吻合。</w:t>
      </w:r>
    </w:p>
    <w:p w14:paraId="7B6D0C94">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（五）迭代留痕方式</w:t>
      </w:r>
    </w:p>
    <w:p w14:paraId="3A86DD13">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代码 / 文件提交记录</w:t>
      </w:r>
      <w:r>
        <w:rPr>
          <w:rFonts w:ascii="宋体" w:hAnsi="宋体" w:eastAsia="宋体"/>
          <w:b w:val="0"/>
          <w:sz w:val="24"/>
        </w:rPr>
        <w:t>：每个功能或修正对应一次有意义的 Git 提交，提交信息说明"改了什么、为什么"；</w:t>
      </w:r>
    </w:p>
    <w:p w14:paraId="0161097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版本日志（CHANGELOG）</w:t>
      </w:r>
      <w:r>
        <w:rPr>
          <w:rFonts w:ascii="宋体" w:hAnsi="宋体" w:eastAsia="宋体"/>
          <w:b w:val="0"/>
          <w:sz w:val="24"/>
        </w:rPr>
        <w:t>：按版本记录新增、修改、修复；</w:t>
      </w:r>
    </w:p>
    <w:p w14:paraId="439FDA92">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项目周报</w:t>
      </w:r>
      <w:r>
        <w:rPr>
          <w:rFonts w:ascii="宋体" w:hAnsi="宋体" w:eastAsia="宋体"/>
          <w:b w:val="0"/>
          <w:sz w:val="24"/>
        </w:rPr>
        <w:t>：每周以 Markdown 记录本周任务、完成情况、遇到的问题与下周计划；</w:t>
      </w:r>
    </w:p>
    <w:p w14:paraId="0CD0D4B3">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页面 / 仓库更新记录</w:t>
      </w:r>
      <w:r>
        <w:rPr>
          <w:rFonts w:ascii="宋体" w:hAnsi="宋体" w:eastAsia="宋体"/>
          <w:b w:val="0"/>
          <w:sz w:val="24"/>
        </w:rPr>
        <w:t>：仓库设"更新日志"，向访问者公开迭代轨迹；</w:t>
      </w:r>
    </w:p>
    <w:p w14:paraId="702C5771">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数据版本</w:t>
      </w:r>
      <w:r>
        <w:rPr>
          <w:rFonts w:ascii="宋体" w:hAnsi="宋体" w:eastAsia="宋体"/>
          <w:b w:val="0"/>
          <w:sz w:val="24"/>
        </w:rPr>
        <w:t>：记录每次数据抓取 / 输入样本的时间与来源，保证数据可追溯、结论可复核。</w:t>
      </w:r>
    </w:p>
    <w:p w14:paraId="14FFC60A">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（六）期末最终版本与进步判定</w:t>
      </w:r>
    </w:p>
    <w:p w14:paraId="4465A516">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期末最终版本（V1.0）拟达到</w:t>
      </w:r>
      <w:r>
        <w:rPr>
          <w:rFonts w:ascii="宋体" w:hAnsi="宋体" w:eastAsia="宋体"/>
          <w:b w:val="0"/>
          <w:sz w:val="24"/>
        </w:rPr>
        <w:t>：覆盖情景模拟 + 期限对比 + 教材验证三大能力；提供至少 2 / 5 / 10 年三档期限与高 / 低票面利率对比；数据由可复现流程支撑或明确标注假设；README 与版本历史完整；完成一轮真实用户测试并据此改进。</w:t>
      </w:r>
    </w:p>
    <w:p w14:paraId="230457EA">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判断项目取得实质进步的四个标准</w:t>
      </w:r>
      <w:r>
        <w:rPr>
          <w:rFonts w:ascii="宋体" w:hAnsi="宋体" w:eastAsia="宋体"/>
          <w:b w:val="0"/>
          <w:sz w:val="24"/>
        </w:rPr>
        <w:t>：</w:t>
      </w:r>
    </w:p>
    <w:p w14:paraId="542C4099">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1. </w:t>
      </w:r>
      <w:r>
        <w:rPr>
          <w:rFonts w:ascii="宋体" w:hAnsi="宋体" w:eastAsia="宋体"/>
          <w:b/>
          <w:sz w:val="24"/>
        </w:rPr>
        <w:t>从静态到可复现</w:t>
      </w:r>
      <w:r>
        <w:rPr>
          <w:rFonts w:ascii="宋体" w:hAnsi="宋体" w:eastAsia="宋体"/>
          <w:b w:val="0"/>
          <w:sz w:val="24"/>
        </w:rPr>
        <w:t>：从期中的手工计算，进步到有版本、可复现的模型与工作流；</w:t>
      </w:r>
    </w:p>
    <w:p w14:paraId="47105F47">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2. </w:t>
      </w:r>
      <w:r>
        <w:rPr>
          <w:rFonts w:ascii="宋体" w:hAnsi="宋体" w:eastAsia="宋体"/>
          <w:b/>
          <w:sz w:val="24"/>
        </w:rPr>
        <w:t>从展示到验证</w:t>
      </w:r>
      <w:r>
        <w:rPr>
          <w:rFonts w:ascii="宋体" w:hAnsi="宋体" w:eastAsia="宋体"/>
          <w:b w:val="0"/>
          <w:sz w:val="24"/>
        </w:rPr>
        <w:t>：从"我算给你看"，进步到"有用户测试与理解偏差记录，并据此改进"；</w:t>
      </w:r>
    </w:p>
    <w:p w14:paraId="6DB87EA4">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3. </w:t>
      </w:r>
      <w:r>
        <w:rPr>
          <w:rFonts w:ascii="宋体" w:hAnsi="宋体" w:eastAsia="宋体"/>
          <w:b/>
          <w:sz w:val="24"/>
        </w:rPr>
        <w:t>从简化到克制</w:t>
      </w:r>
      <w:r>
        <w:rPr>
          <w:rFonts w:ascii="宋体" w:hAnsi="宋体" w:eastAsia="宋体"/>
          <w:b w:val="0"/>
          <w:sz w:val="24"/>
        </w:rPr>
        <w:t>：从容易误导的简化，进步到主动标注假设、暴露简化边界的负责任分析；</w:t>
      </w:r>
    </w:p>
    <w:p w14:paraId="40D6C209">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 xml:space="preserve">4. </w:t>
      </w:r>
      <w:r>
        <w:rPr>
          <w:rFonts w:ascii="宋体" w:hAnsi="宋体" w:eastAsia="宋体"/>
          <w:b/>
          <w:sz w:val="24"/>
        </w:rPr>
        <w:t>从个人作品到可对标</w:t>
      </w:r>
      <w:r>
        <w:rPr>
          <w:rFonts w:ascii="宋体" w:hAnsi="宋体" w:eastAsia="宋体"/>
          <w:b w:val="0"/>
          <w:sz w:val="24"/>
        </w:rPr>
        <w:t>：能清楚回答"行业标准在哪里、我差在哪里、下一步怎样靠近"，并以可核验的版本历史证明改进真实发生。</w:t>
      </w:r>
    </w:p>
    <w:p w14:paraId="30ABCCE3">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第五部分　过程证据与提交清单</w:t>
      </w:r>
    </w:p>
    <w:p w14:paraId="0A1B095B">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（一）真实性与过程证据设计</w:t>
      </w:r>
    </w:p>
    <w:p w14:paraId="42A9C931">
      <w:pPr>
        <w:pageBreakBefore w:val="0"/>
        <w:widowControl/>
        <w:kinsoku/>
        <w:wordWrap/>
        <w:overflowPunct/>
        <w:topLinePunct w:val="0"/>
        <w:autoSpaceDE/>
        <w:autoSpaceDN/>
        <w:bidi w:val="0"/>
        <w:adjustRightInd/>
        <w:snapToGrid/>
        <w:spacing w:line="360" w:lineRule="auto"/>
        <w:ind w:firstLine="480" w:firstLineChars="200"/>
        <w:textAlignment w:val="auto"/>
      </w:pPr>
      <w:r>
        <w:rPr>
          <w:rFonts w:ascii="宋体" w:hAnsi="宋体" w:eastAsia="宋体"/>
          <w:b w:val="0"/>
          <w:sz w:val="24"/>
        </w:rPr>
        <w:t>针对任务书强调的"过程证据"与"AI 不能替代个人判断"，本项目保留以下材料：</w:t>
      </w:r>
    </w:p>
    <w:p w14:paraId="4DEF4FC4">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课程知识点依据</w:t>
      </w:r>
      <w:r>
        <w:rPr>
          <w:rFonts w:ascii="宋体" w:hAnsi="宋体" w:eastAsia="宋体"/>
          <w:b w:val="0"/>
          <w:sz w:val="24"/>
        </w:rPr>
        <w:t>：知识点与章节对照、教材例题 12‑3 引用；</w:t>
      </w:r>
    </w:p>
    <w:p w14:paraId="3C939963">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AI 与 Skill 使用记录</w:t>
      </w:r>
      <w:r>
        <w:rPr>
          <w:rFonts w:ascii="宋体" w:hAnsi="宋体" w:eastAsia="宋体"/>
          <w:b w:val="0"/>
          <w:sz w:val="24"/>
        </w:rPr>
        <w:t>：说明在哪些环节使用了 AI / 金融 Skill、输出了什么、本人做了哪些核对与修改；</w:t>
      </w:r>
    </w:p>
    <w:p w14:paraId="107A5AA3">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关键输入与输出</w:t>
      </w:r>
      <w:r>
        <w:rPr>
          <w:rFonts w:ascii="宋体" w:hAnsi="宋体" w:eastAsia="宋体"/>
          <w:b w:val="0"/>
          <w:sz w:val="24"/>
        </w:rPr>
        <w:t>：例题 12‑3 校验表、利率情景分析表、期限对比表；</w:t>
      </w:r>
    </w:p>
    <w:p w14:paraId="5F20BAF3">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版本修改说明</w:t>
      </w:r>
      <w:r>
        <w:rPr>
          <w:rFonts w:ascii="宋体" w:hAnsi="宋体" w:eastAsia="宋体"/>
          <w:b w:val="0"/>
          <w:sz w:val="24"/>
        </w:rPr>
        <w:t>：Git 提交历史、CHANGELOG、项目周报；</w:t>
      </w:r>
    </w:p>
    <w:p w14:paraId="046AAEA7">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行业对标材料</w:t>
      </w:r>
      <w:r>
        <w:rPr>
          <w:rFonts w:ascii="宋体" w:hAnsi="宋体" w:eastAsia="宋体"/>
          <w:b w:val="0"/>
          <w:sz w:val="24"/>
        </w:rPr>
        <w:t>：Calculator.net 链接与差距分析文档。</w:t>
      </w:r>
    </w:p>
    <w:p w14:paraId="74A824AC">
      <w:pPr>
        <w:pStyle w:val="4"/>
        <w:pageBreakBefore w:val="0"/>
        <w:widowControl/>
        <w:kinsoku/>
        <w:wordWrap/>
        <w:overflowPunct/>
        <w:topLinePunct w:val="0"/>
        <w:autoSpaceDE/>
        <w:autoSpaceDN/>
        <w:bidi w:val="0"/>
        <w:adjustRightInd/>
        <w:snapToGrid/>
        <w:spacing w:line="360" w:lineRule="auto"/>
        <w:ind w:firstLine="522" w:firstLineChars="200"/>
        <w:textAlignment w:val="auto"/>
      </w:pPr>
      <w:r>
        <w:rPr>
          <w:rFonts w:ascii="宋体" w:hAnsi="宋体" w:eastAsia="宋体"/>
          <w:b/>
        </w:rPr>
        <w:t>（二）提交清单对照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E66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1F4E78"/>
          </w:tcPr>
          <w:p w14:paraId="0378A658">
            <w:pPr>
              <w:pageBreakBefore w:val="0"/>
              <w:widowControl/>
              <w:kinsoku/>
              <w:wordWrap/>
              <w:overflowPunct/>
              <w:topLinePunct w:val="0"/>
              <w:autoSpaceDE/>
              <w:autoSpaceDN/>
              <w:bidi w:val="0"/>
              <w:adjustRightInd/>
              <w:snapToGrid/>
              <w:spacing w:after="0" w:line="360" w:lineRule="auto"/>
              <w:ind w:firstLine="402" w:firstLineChars="200"/>
              <w:textAlignment w:val="auto"/>
            </w:pPr>
            <w:r>
              <w:rPr>
                <w:rFonts w:ascii="宋体" w:hAnsi="宋体" w:eastAsia="宋体"/>
                <w:b/>
                <w:color w:val="FFFFFF"/>
                <w:sz w:val="20"/>
              </w:rPr>
              <w:t>任务书提交清单</w:t>
            </w:r>
          </w:p>
        </w:tc>
        <w:tc>
          <w:tcPr>
            <w:tcW w:w="4320" w:type="dxa"/>
            <w:shd w:val="clear" w:color="auto" w:fill="1F4E78"/>
          </w:tcPr>
          <w:p w14:paraId="5B1E0540">
            <w:pPr>
              <w:pageBreakBefore w:val="0"/>
              <w:widowControl/>
              <w:kinsoku/>
              <w:wordWrap/>
              <w:overflowPunct/>
              <w:topLinePunct w:val="0"/>
              <w:autoSpaceDE/>
              <w:autoSpaceDN/>
              <w:bidi w:val="0"/>
              <w:adjustRightInd/>
              <w:snapToGrid/>
              <w:spacing w:after="0" w:line="360" w:lineRule="auto"/>
              <w:ind w:firstLine="402" w:firstLineChars="200"/>
              <w:textAlignment w:val="auto"/>
            </w:pPr>
            <w:r>
              <w:rPr>
                <w:rFonts w:ascii="宋体" w:hAnsi="宋体" w:eastAsia="宋体"/>
                <w:b/>
                <w:color w:val="FFFFFF"/>
                <w:sz w:val="20"/>
              </w:rPr>
              <w:t>本项目对应交付</w:t>
            </w:r>
          </w:p>
        </w:tc>
      </w:tr>
      <w:tr w14:paraId="1E61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58DB7F">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期中项目说明（四部分）</w:t>
            </w:r>
          </w:p>
        </w:tc>
        <w:tc>
          <w:tcPr>
            <w:tcW w:w="4320" w:type="dxa"/>
          </w:tcPr>
          <w:p w14:paraId="71E1AA8B">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本文档</w:t>
            </w:r>
          </w:p>
        </w:tc>
      </w:tr>
      <w:tr w14:paraId="23FF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8F6E185">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项目访问路径</w:t>
            </w:r>
          </w:p>
        </w:tc>
        <w:tc>
          <w:tcPr>
            <w:tcW w:w="4320" w:type="dxa"/>
          </w:tcPr>
          <w:p w14:paraId="6919C272">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GitHub / Gitee 仓库链接</w:t>
            </w:r>
          </w:p>
        </w:tc>
      </w:tr>
      <w:tr w14:paraId="6064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9252D1">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项目原型</w:t>
            </w:r>
          </w:p>
        </w:tc>
        <w:tc>
          <w:tcPr>
            <w:tcW w:w="4320" w:type="dxa"/>
          </w:tcPr>
          <w:p w14:paraId="5C071A2B">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可运行的 Excel 工作簿（含例题校验）</w:t>
            </w:r>
          </w:p>
        </w:tc>
      </w:tr>
      <w:tr w14:paraId="2E9F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ACE0BC3">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行业对标材料</w:t>
            </w:r>
          </w:p>
        </w:tc>
        <w:tc>
          <w:tcPr>
            <w:tcW w:w="4320" w:type="dxa"/>
          </w:tcPr>
          <w:p w14:paraId="3BE4E36F">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Calculator.net 链接 + 差距分析</w:t>
            </w:r>
          </w:p>
        </w:tc>
      </w:tr>
      <w:tr w14:paraId="59671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C434B0">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过程记录</w:t>
            </w:r>
          </w:p>
        </w:tc>
        <w:tc>
          <w:tcPr>
            <w:tcW w:w="4320" w:type="dxa"/>
          </w:tcPr>
          <w:p w14:paraId="0BC059AD">
            <w:pPr>
              <w:pageBreakBefore w:val="0"/>
              <w:widowControl/>
              <w:kinsoku/>
              <w:wordWrap/>
              <w:overflowPunct/>
              <w:topLinePunct w:val="0"/>
              <w:autoSpaceDE/>
              <w:autoSpaceDN/>
              <w:bidi w:val="0"/>
              <w:adjustRightInd/>
              <w:snapToGrid/>
              <w:spacing w:after="0" w:line="360" w:lineRule="auto"/>
              <w:ind w:firstLine="400" w:firstLineChars="200"/>
              <w:textAlignment w:val="auto"/>
            </w:pPr>
            <w:r>
              <w:rPr>
                <w:rFonts w:ascii="宋体" w:hAnsi="宋体" w:eastAsia="宋体"/>
                <w:b w:val="0"/>
                <w:sz w:val="20"/>
              </w:rPr>
              <w:t>版本日志、提交记录、项目周报</w:t>
            </w:r>
          </w:p>
        </w:tc>
      </w:tr>
    </w:tbl>
    <w:p w14:paraId="07029A83">
      <w:pPr>
        <w:pStyle w:val="3"/>
        <w:pageBreakBefore w:val="0"/>
        <w:widowControl/>
        <w:kinsoku/>
        <w:wordWrap/>
        <w:overflowPunct/>
        <w:topLinePunct w:val="0"/>
        <w:autoSpaceDE/>
        <w:autoSpaceDN/>
        <w:bidi w:val="0"/>
        <w:adjustRightInd/>
        <w:snapToGrid/>
        <w:spacing w:line="360" w:lineRule="auto"/>
        <w:ind w:firstLine="562" w:firstLineChars="200"/>
        <w:textAlignment w:val="auto"/>
      </w:pPr>
      <w:r>
        <w:rPr>
          <w:rFonts w:ascii="宋体" w:hAnsi="宋体" w:eastAsia="宋体"/>
          <w:b/>
        </w:rPr>
        <w:t>第六部分　说明与风险提示</w:t>
      </w:r>
    </w:p>
    <w:p w14:paraId="647C3460">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范围边界</w:t>
      </w:r>
      <w:r>
        <w:rPr>
          <w:rFonts w:ascii="宋体" w:hAnsi="宋体" w:eastAsia="宋体"/>
          <w:b w:val="0"/>
          <w:sz w:val="24"/>
        </w:rPr>
        <w:t>：本期仅处理普通固定利率债券，不含违约、赎回 / 回售、浮息与应计利息；相关结论在含权 / 浮息场景下不成立。</w:t>
      </w:r>
    </w:p>
    <w:p w14:paraId="15BB85C2">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模型假设</w:t>
      </w:r>
      <w:r>
        <w:rPr>
          <w:rFonts w:ascii="宋体" w:hAnsi="宋体" w:eastAsia="宋体"/>
          <w:b w:val="0"/>
          <w:sz w:val="24"/>
        </w:rPr>
        <w:t>：定价采用年化市场利率、到期一次性还本的简化假设；真实报价还需考虑交易费用、税费与流动性。</w:t>
      </w:r>
    </w:p>
    <w:p w14:paraId="54CA20FB">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数据说明</w:t>
      </w:r>
      <w:r>
        <w:rPr>
          <w:rFonts w:ascii="宋体" w:hAnsi="宋体" w:eastAsia="宋体"/>
          <w:b w:val="0"/>
          <w:sz w:val="24"/>
        </w:rPr>
        <w:t>：期中原型以教材例题与模拟情景为主，真实市场数据待接入并明确标注来源与时效。</w:t>
      </w:r>
    </w:p>
    <w:p w14:paraId="13FCD118">
      <w:pPr>
        <w:pStyle w:val="16"/>
        <w:pageBreakBefore w:val="0"/>
        <w:widowControl/>
        <w:kinsoku/>
        <w:wordWrap/>
        <w:overflowPunct/>
        <w:topLinePunct w:val="0"/>
        <w:autoSpaceDE/>
        <w:autoSpaceDN/>
        <w:bidi w:val="0"/>
        <w:adjustRightInd/>
        <w:snapToGrid/>
        <w:spacing w:line="360" w:lineRule="auto"/>
        <w:ind w:firstLine="482" w:firstLineChars="200"/>
        <w:textAlignment w:val="auto"/>
      </w:pPr>
      <w:r>
        <w:rPr>
          <w:rFonts w:ascii="宋体" w:hAnsi="宋体" w:eastAsia="宋体"/>
          <w:b/>
          <w:sz w:val="24"/>
        </w:rPr>
        <w:t>AI 参与披露</w:t>
      </w:r>
      <w:r>
        <w:rPr>
          <w:rFonts w:ascii="宋体" w:hAnsi="宋体" w:eastAsia="宋体"/>
          <w:b w:val="0"/>
          <w:sz w:val="24"/>
        </w:rPr>
        <w:t>：公式辅助、图表配置、README 初稿等环节有 AI / Skill 参与，选题、校验、解释与判断均由本人完成。</w:t>
      </w:r>
    </w:p>
    <w:p w14:paraId="16A649E2">
      <w:pPr>
        <w:pStyle w:val="3"/>
      </w:pPr>
      <w:r>
        <w:rPr>
          <w:rFonts w:ascii="宋体" w:hAnsi="宋体" w:eastAsia="宋体"/>
          <w:b/>
        </w:rPr>
        <w:t>参考文献</w:t>
      </w:r>
    </w:p>
    <w:p w14:paraId="314F015D">
      <w:r>
        <w:rPr>
          <w:rFonts w:ascii="宋体" w:hAnsi="宋体" w:eastAsia="宋体"/>
          <w:b w:val="0"/>
          <w:sz w:val="24"/>
        </w:rPr>
        <w:t>1. 《金融市场与金融机构》教材，第十二章"债券市场"（第四节 债券定价、第五节 债券价格与利率的关系），例题 12‑3。</w:t>
      </w:r>
    </w:p>
    <w:p w14:paraId="3478D101">
      <w:r>
        <w:rPr>
          <w:rFonts w:ascii="宋体" w:hAnsi="宋体" w:eastAsia="宋体"/>
          <w:b w:val="0"/>
          <w:sz w:val="24"/>
        </w:rPr>
        <w:t>2. Calculator.net, *Bond Calculator*, https://www.calculator.net/bond-calculator.html</w:t>
      </w:r>
    </w:p>
    <w:p w14:paraId="53E518FB">
      <w:r>
        <w:rPr>
          <w:rFonts w:ascii="宋体" w:hAnsi="宋体" w:eastAsia="宋体"/>
          <w:b w:val="0"/>
          <w:sz w:val="24"/>
        </w:rPr>
        <w:t>3. 金融行业 Skills 技能库分类索引（"56 金融 Excel 模型生成""35 中国金融市场数据查询"）。</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A00385"/>
    <w:rsid w:val="0D3F7891"/>
    <w:rsid w:val="0F0E08DE"/>
    <w:rsid w:val="1EF74148"/>
    <w:rsid w:val="1F8E1F18"/>
    <w:rsid w:val="317653A0"/>
    <w:rsid w:val="468123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宋体" w:hAnsi="宋体" w:eastAsia="宋体"/>
      <w:sz w:val="24"/>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sz w:val="24"/>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3831</Words>
  <Characters>4371</Characters>
  <Lines>0</Lines>
  <Paragraphs>0</Paragraphs>
  <TotalTime>10</TotalTime>
  <ScaleCrop>false</ScaleCrop>
  <LinksUpToDate>false</LinksUpToDate>
  <CharactersWithSpaces>4642</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攒一身可爱</cp:lastModifiedBy>
  <dcterms:modified xsi:type="dcterms:W3CDTF">2026-10-28T15:36:18Z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eyJoZGlkIjoiOGI4NjI5OTBmMDM1ODFlMDkzNDFlZTFiMWNhZWU5ZTMiLCJ1c2VySWQiOiI2MDkyNDE1MTIifQ==</vt:lpwstr>
  </property>
  <property fmtid="{D5CDD505-2E9C-101B-9397-08002B2CF9AE}" pid="3" name="KSOProductBuildVer">
    <vt:lpwstr>2052-12.1.0.20784</vt:lpwstr>
  </property>
  <property fmtid="{D5CDD505-2E9C-101B-9397-08002B2CF9AE}" pid="4" name="ICV">
    <vt:lpwstr>293D9CE0BA194DBE8C160A4BA5168B73_12</vt:lpwstr>
  </property>
</Properties>
</file>