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charts/chart1.xml" ContentType="application/vnd.openxmlformats-officedocument.drawingml.chart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header2.xml" ContentType="application/vnd.openxmlformats-officedocument.wordprocessingml.header+xml"/>
  <Override PartName="/word/settings.xml" ContentType="application/vnd.openxmlformats-officedocument.wordprocessingml.settings+xml"/>
  <Override PartName="/word/vbaData.xml" ContentType="application/vnd.ms-word.vbaData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apertitle"/>
        <w:rPr/>
      </w:pPr>
      <w:r>
        <w:rPr/>
        <w:t>Contribution Title</w:t>
      </w:r>
    </w:p>
    <w:p>
      <w:pPr>
        <w:pStyle w:val="Author"/>
        <w:rPr/>
      </w:pPr>
      <w:r>
        <w:rPr/>
        <w:t>First Author</w:t>
      </w:r>
      <w:r>
        <w:rPr>
          <w:vertAlign w:val="superscript"/>
        </w:rPr>
        <w:t>1</w:t>
      </w:r>
      <w:r>
        <w:rPr>
          <w:rStyle w:val="ORCID"/>
        </w:rPr>
        <w:t>[0000-1111-2222-3333]</w:t>
      </w:r>
      <w:r>
        <w:rPr/>
        <w:t xml:space="preserve"> and Second Author</w:t>
      </w:r>
      <w:r>
        <w:rPr>
          <w:vertAlign w:val="superscript"/>
        </w:rPr>
        <w:t>2</w:t>
      </w:r>
      <w:r>
        <w:rPr>
          <w:rStyle w:val="ORCID"/>
        </w:rPr>
        <w:t>[1111-2222-3333-4444]</w:t>
      </w:r>
    </w:p>
    <w:p>
      <w:pPr>
        <w:pStyle w:val="Address"/>
        <w:rPr/>
      </w:pPr>
      <w:r>
        <w:rPr>
          <w:vertAlign w:val="superscript"/>
        </w:rPr>
        <w:t>1</w:t>
      </w:r>
      <w:r>
        <w:rPr/>
        <w:t xml:space="preserve"> Princeton University, Princeton NJ 08544, USA</w:t>
      </w:r>
    </w:p>
    <w:p>
      <w:pPr>
        <w:pStyle w:val="Address"/>
        <w:rPr/>
      </w:pPr>
      <w:r>
        <w:rPr>
          <w:vertAlign w:val="superscript"/>
        </w:rPr>
        <w:t>2</w:t>
      </w:r>
      <w:r>
        <w:rPr/>
        <w:t xml:space="preserve"> Springer Heidelberg, Tiergartenstr. 17, 69121 Heidelberg, Germany</w:t>
        <w:br/>
      </w:r>
      <w:r>
        <w:rPr>
          <w:rStyle w:val="Email"/>
        </w:rPr>
        <w:t>lncs@springer.com</w:t>
      </w:r>
    </w:p>
    <w:p>
      <w:pPr>
        <w:pStyle w:val="Abstract"/>
        <w:spacing w:before="600" w:after="0"/>
        <w:ind w:left="567" w:right="567" w:hanging="0"/>
        <w:contextualSpacing/>
        <w:rPr/>
      </w:pPr>
      <w:r>
        <w:rPr>
          <w:b/>
          <w:bCs/>
        </w:rPr>
        <w:t xml:space="preserve">Abstract. </w:t>
      </w:r>
      <w:r>
        <w:rPr/>
        <w:t>The abstract should summarize the contents of the paper in short terms, i.e. 150-250 words.</w:t>
      </w:r>
    </w:p>
    <w:p>
      <w:pPr>
        <w:pStyle w:val="Keywords"/>
        <w:rPr/>
      </w:pPr>
      <w:r>
        <w:rPr>
          <w:b/>
          <w:bCs/>
        </w:rPr>
        <w:t>Keywords:</w:t>
      </w:r>
      <w:r>
        <w:rPr/>
        <w:t xml:space="preserve"> First Keyword, Second Keyword, Third Keyword.</w:t>
      </w:r>
    </w:p>
    <w:p>
      <w:pPr>
        <w:pStyle w:val="Heading11"/>
        <w:numPr>
          <w:ilvl w:val="0"/>
          <w:numId w:val="1"/>
        </w:numPr>
        <w:ind w:left="567" w:hanging="567"/>
        <w:rPr/>
      </w:pPr>
      <w:r>
        <w:rPr/>
        <w:t>First Section</w:t>
      </w:r>
    </w:p>
    <w:p>
      <w:pPr>
        <w:pStyle w:val="Heading21"/>
        <w:numPr>
          <w:ilvl w:val="1"/>
          <w:numId w:val="1"/>
        </w:numPr>
        <w:spacing w:before="0" w:after="160"/>
        <w:ind w:left="567" w:hanging="567"/>
        <w:rPr/>
      </w:pPr>
      <w:r>
        <w:rPr/>
        <w:t>A Subsection Sample</w:t>
      </w:r>
    </w:p>
    <w:p>
      <w:pPr>
        <w:pStyle w:val="P1a"/>
        <w:rPr/>
      </w:pPr>
      <w:r>
        <w:rPr/>
        <w:t>Please note that the first paragraph of a section or subsection is not indented. The first paragraphs that follows a table, figure, equation etc. does not have an indent, either.</w:t>
      </w:r>
    </w:p>
    <w:p>
      <w:pPr>
        <w:pStyle w:val="Normal"/>
        <w:rPr/>
      </w:pPr>
      <w:r>
        <w:rPr/>
        <w:t>Subsequent paragraphs, however, are indented.</w:t>
      </w:r>
    </w:p>
    <w:p>
      <w:pPr>
        <w:pStyle w:val="Heading3"/>
        <w:rPr/>
      </w:pPr>
      <w:r>
        <w:rPr>
          <w:rStyle w:val="Heading31"/>
        </w:rPr>
        <w:t xml:space="preserve">Sample Heading (Third Level). </w:t>
      </w:r>
      <w:r>
        <w:rPr>
          <w:rStyle w:val="Heading31"/>
          <w:b w:val="false"/>
        </w:rPr>
        <w:t>Only two levels of headings should be numbered. Lower level headings remain unnumbered; they are formatted as run-in headings.</w:t>
      </w:r>
    </w:p>
    <w:p>
      <w:pPr>
        <w:pStyle w:val="Heading4"/>
        <w:rPr/>
      </w:pPr>
      <w:r>
        <w:rPr>
          <w:rStyle w:val="Heading41"/>
        </w:rPr>
        <w:t>Sample Heading (Forth Level).</w:t>
      </w:r>
      <w:r>
        <w:rPr>
          <w:rStyle w:val="Heading41"/>
          <w:i w:val="false"/>
        </w:rPr>
        <w:t xml:space="preserve"> The contribution should contain no more than four levels of headings. The following </w:t>
      </w:r>
      <w:r>
        <w:rPr>
          <w:rStyle w:val="Heading41"/>
          <w:i w:val="false"/>
        </w:rPr>
        <w:fldChar w:fldCharType="begin"/>
      </w:r>
      <w:r>
        <w:rPr>
          <w:rStyle w:val="Heading41"/>
          <w:i w:val="false"/>
        </w:rPr>
        <w:instrText> REF _Ref467509391 \h </w:instrText>
      </w:r>
      <w:r>
        <w:rPr>
          <w:rStyle w:val="Heading41"/>
          <w:i w:val="false"/>
        </w:rPr>
        <w:fldChar w:fldCharType="separate"/>
      </w:r>
      <w:r>
        <w:rPr>
          <w:rStyle w:val="Heading41"/>
          <w:i w:val="false"/>
        </w:rPr>
        <w:t>Table 1</w:t>
      </w:r>
      <w:r>
        <w:rPr>
          <w:rStyle w:val="Heading41"/>
          <w:i w:val="false"/>
        </w:rPr>
        <w:fldChar w:fldCharType="end"/>
      </w:r>
      <w:r>
        <w:rPr>
          <w:rStyle w:val="Heading41"/>
          <w:i w:val="false"/>
        </w:rPr>
        <w:t xml:space="preserve"> gives a summary of all heading levels.</w:t>
      </w:r>
    </w:p>
    <w:p>
      <w:pPr>
        <w:pStyle w:val="Tablecaption"/>
        <w:rPr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> SEQ "Table"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rPr/>
        <w:t xml:space="preserve"> Table captions should be placed above the tables.</w:t>
      </w:r>
    </w:p>
    <w:tbl>
      <w:tblPr>
        <w:tblW w:w="6889" w:type="dxa"/>
        <w:jc w:val="center"/>
        <w:tblInd w:w="0" w:type="dxa"/>
        <w:tblCellMar>
          <w:top w:w="0" w:type="dxa"/>
          <w:left w:w="70" w:type="dxa"/>
          <w:bottom w:w="0" w:type="dxa"/>
          <w:right w:w="70" w:type="dxa"/>
        </w:tblCellMar>
        <w:tblLook w:val="0000" w:noVBand="0" w:noHBand="0" w:lastColumn="0" w:firstColumn="0" w:lastRow="0" w:firstRow="0"/>
      </w:tblPr>
      <w:tblGrid>
        <w:gridCol w:w="1691"/>
        <w:gridCol w:w="3444"/>
        <w:gridCol w:w="1754"/>
      </w:tblGrid>
      <w:tr>
        <w:trPr/>
        <w:tc>
          <w:tcPr>
            <w:tcW w:w="1691" w:type="dxa"/>
            <w:tcBorders>
              <w:top w:val="single" w:sz="12" w:space="0" w:color="000000"/>
              <w:bottom w:val="single" w:sz="6" w:space="0" w:color="000000"/>
            </w:tcBorders>
            <w:shd w:fill="auto" w:val="clea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Heading level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  <w:shd w:fill="auto" w:val="clea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Example</w:t>
            </w:r>
          </w:p>
        </w:tc>
        <w:tc>
          <w:tcPr>
            <w:tcW w:w="1754" w:type="dxa"/>
            <w:tcBorders>
              <w:top w:val="single" w:sz="12" w:space="0" w:color="000000"/>
              <w:bottom w:val="single" w:sz="6" w:space="0" w:color="000000"/>
            </w:tcBorders>
            <w:shd w:fill="auto" w:val="clea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Font size and style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Title (centered)</w:t>
            </w:r>
          </w:p>
        </w:tc>
        <w:tc>
          <w:tcPr>
            <w:tcW w:w="344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5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vertAlign w:val="superscript"/>
              </w:rPr>
              <w:t>st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5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  <w:r>
              <w:rPr>
                <w:sz w:val="18"/>
                <w:szCs w:val="18"/>
                <w:vertAlign w:val="superscript"/>
              </w:rPr>
              <w:t>nd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5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  <w:r>
              <w:rPr>
                <w:sz w:val="18"/>
                <w:szCs w:val="18"/>
                <w:vertAlign w:val="superscript"/>
              </w:rPr>
              <w:t>rd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Run-in Heading in Bold.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54" w:type="dxa"/>
            <w:tcBorders/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>
              <w:bottom w:val="single" w:sz="12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  <w:r>
              <w:rPr>
                <w:sz w:val="18"/>
                <w:szCs w:val="18"/>
                <w:vertAlign w:val="superscript"/>
              </w:rPr>
              <w:t>th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i/>
                <w:iCs/>
                <w:szCs w:val="18"/>
              </w:rPr>
              <w:t>Lowest Level Heading.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54" w:type="dxa"/>
            <w:tcBorders>
              <w:bottom w:val="single" w:sz="12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italic</w:t>
            </w:r>
          </w:p>
        </w:tc>
      </w:tr>
    </w:tbl>
    <w:p>
      <w:pPr>
        <w:pStyle w:val="Normal"/>
        <w:spacing w:before="240" w:after="0"/>
        <w:ind w:hanging="0"/>
        <w:rPr/>
      </w:pPr>
      <w:r>
        <w:rPr/>
        <w:t xml:space="preserve">Displayed equations are centered and set on a separate line. </w:t>
      </w:r>
    </w:p>
    <w:p>
      <w:pPr>
        <w:pStyle w:val="Equation"/>
        <w:rPr/>
      </w:pPr>
      <w:r>
        <w:rPr>
          <w:i/>
        </w:rPr>
        <w:tab/>
        <w:t>x</w:t>
      </w:r>
      <w:r>
        <w:rPr/>
        <w:t xml:space="preserve"> + </w:t>
      </w:r>
      <w:r>
        <w:rPr>
          <w:i/>
        </w:rPr>
        <w:t>y</w:t>
      </w:r>
      <w:r>
        <w:rPr/>
        <w:t xml:space="preserve"> = </w:t>
      </w:r>
      <w:r>
        <w:rPr>
          <w:i/>
        </w:rPr>
        <w:t>z</w:t>
      </w:r>
      <w:r>
        <w:rPr/>
        <w:tab/>
        <w:t>(</w:t>
      </w:r>
      <w:r>
        <w:rPr/>
        <w:fldChar w:fldCharType="begin"/>
      </w:r>
      <w:r>
        <w:rPr/>
        <w:instrText> SEQ "Equation" \* ARABIC </w:instrText>
      </w:r>
      <w:r>
        <w:rPr/>
        <w:fldChar w:fldCharType="separate"/>
      </w:r>
      <w:r>
        <w:rPr/>
        <w:t>1</w:t>
      </w:r>
      <w:r>
        <w:rPr/>
        <w:fldChar w:fldCharType="end"/>
      </w:r>
      <w:bookmarkStart w:id="1" w:name="_Ref467511674"/>
      <w:bookmarkEnd w:id="1"/>
      <w:r>
        <w:rPr/>
        <w:t>)</w:t>
      </w:r>
    </w:p>
    <w:p>
      <w:pPr>
        <w:pStyle w:val="P1a"/>
        <w:tabs>
          <w:tab w:val="clear" w:pos="227"/>
          <w:tab w:val="left" w:pos="1929" w:leader="none"/>
        </w:tabs>
        <w:rPr/>
      </w:pPr>
      <w:r>
        <w:rPr/>
        <w:t xml:space="preserve">Please try to avoid rasterized images for line-art diagrams and schemas. Whenever possible, use vector graphics instead (see </w:t>
      </w:r>
      <w:r>
        <w:rPr/>
        <w:fldChar w:fldCharType="begin"/>
      </w:r>
      <w:r>
        <w:rPr/>
        <w:instrText> REF _Ref467515387 \h </w:instrText>
      </w:r>
      <w:r>
        <w:rPr/>
        <w:fldChar w:fldCharType="separate"/>
      </w:r>
      <w:r>
        <w:rPr/>
        <w:t>Fig. 1</w:t>
      </w:r>
      <w:r>
        <w:rPr/>
        <w:fldChar w:fldCharType="end"/>
      </w:r>
      <w:r>
        <w:rPr/>
        <w:t>).</w:t>
      </w:r>
    </w:p>
    <w:p>
      <w:pPr>
        <w:pStyle w:val="Normal"/>
        <w:spacing w:before="360" w:after="0"/>
        <w:ind w:left="227" w:hanging="227"/>
        <w:rPr/>
      </w:pPr>
      <w:r>
        <w:rPr/>
        <w:drawing>
          <wp:inline distT="0" distB="0" distL="0" distR="0">
            <wp:extent cx="4392930" cy="1859280"/>
            <wp:effectExtent l="0" t="0" r="0" b="0"/>
            <wp:docPr id="1" name="Object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"/>
              </a:graphicData>
            </a:graphic>
          </wp:inline>
        </w:drawing>
      </w:r>
    </w:p>
    <w:p>
      <w:pPr>
        <w:pStyle w:val="Figurecaption"/>
        <w:jc w:val="both"/>
        <w:rPr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rPr/>
        <w:t xml:space="preserve"> A figure caption is always placed below the illustration. Short captions are centered, while long ones are justified. The macro button chooses the correct format automatically.</w:t>
      </w:r>
    </w:p>
    <w:p>
      <w:pPr>
        <w:pStyle w:val="P1a"/>
        <w:rPr/>
      </w:pPr>
      <w:r>
        <w:rPr/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>
      <w:pPr>
        <w:pStyle w:val="Heading11"/>
        <w:numPr>
          <w:ilvl w:val="0"/>
          <w:numId w:val="0"/>
        </w:numPr>
        <w:ind w:left="567" w:hanging="567"/>
        <w:rPr/>
      </w:pPr>
      <w:r>
        <w:rPr/>
        <w:t>References</w:t>
      </w:r>
    </w:p>
    <w:p>
      <w:pPr>
        <w:pStyle w:val="Normal"/>
        <w:numPr>
          <w:ilvl w:val="0"/>
          <w:numId w:val="2"/>
        </w:numPr>
        <w:rPr>
          <w:sz w:val="18"/>
          <w:szCs w:val="18"/>
        </w:rPr>
      </w:pPr>
      <w:bookmarkStart w:id="3" w:name="js-reference-string-0"/>
      <w:bookmarkEnd w:id="3"/>
      <w:r>
        <w:rPr>
          <w:color w:val="000000"/>
          <w:sz w:val="18"/>
          <w:szCs w:val="18"/>
        </w:rPr>
        <w:t>Gross, G. (2019). Botnet Detection and Removal: Methods &amp; Best Practices. Retrieved 12 November 2019, from https://www.alienvault.com/blogs/security-essentials/botnet-detection-and-removal-methods-best-practices</w:t>
      </w:r>
    </w:p>
    <w:p>
      <w:pPr>
        <w:pStyle w:val="Referenceitem"/>
        <w:numPr>
          <w:ilvl w:val="0"/>
          <w:numId w:val="2"/>
        </w:numPr>
        <w:rPr/>
      </w:pPr>
      <w:r>
        <w:rPr/>
        <w:t>Author, F.: Article title. Journal 2(5), 99–110 (2016).</w:t>
      </w:r>
    </w:p>
    <w:p>
      <w:pPr>
        <w:pStyle w:val="Referenceitem"/>
        <w:numPr>
          <w:ilvl w:val="0"/>
          <w:numId w:val="2"/>
        </w:numPr>
        <w:rPr/>
      </w:pPr>
      <w:r>
        <w:rPr/>
        <w:t xml:space="preserve">Author, F., Author, S.: Title of a proceedings paper. In: Editor, F., Editor, S. (eds.) CONFERENCE 2016, LNCS, vol. 9999, pp. 1–13. Springer, Heidelberg (2016). </w:t>
      </w:r>
    </w:p>
    <w:p>
      <w:pPr>
        <w:pStyle w:val="Referenceitem"/>
        <w:numPr>
          <w:ilvl w:val="0"/>
          <w:numId w:val="2"/>
        </w:numPr>
        <w:rPr/>
      </w:pPr>
      <w:r>
        <w:rPr/>
        <w:t>Author, F., Author, S., Author, T.: Book title. 2nd edn. Publisher, Location (1999).</w:t>
      </w:r>
    </w:p>
    <w:p>
      <w:pPr>
        <w:pStyle w:val="Referenceitem"/>
        <w:numPr>
          <w:ilvl w:val="0"/>
          <w:numId w:val="2"/>
        </w:numPr>
        <w:rPr/>
      </w:pPr>
      <w:r>
        <w:rPr/>
        <w:t>Author, F.: Contribution title. In: 9th International Proceedings on Proceedings, pp. 1–2. Publisher, Location (2010).</w:t>
      </w:r>
    </w:p>
    <w:p>
      <w:pPr>
        <w:pStyle w:val="Referenceitem"/>
        <w:numPr>
          <w:ilvl w:val="0"/>
          <w:numId w:val="2"/>
        </w:numPr>
        <w:rPr/>
      </w:pPr>
      <w:r>
        <w:rPr/>
        <w:t xml:space="preserve">LNCS Homepage, </w:t>
      </w:r>
      <w:hyperlink r:id="rId3">
        <w:r>
          <w:rPr>
            <w:rStyle w:val="InternetLink"/>
          </w:rPr>
          <w:t>http://www.springer.com/lncs</w:t>
        </w:r>
      </w:hyperlink>
      <w:r>
        <w:rPr/>
        <w:t>, last accessed 2016/11/21.</w:t>
      </w:r>
    </w:p>
    <w:sectPr>
      <w:headerReference w:type="even" r:id="rId4"/>
      <w:headerReference w:type="default" r:id="rId5"/>
      <w:type w:val="nextPage"/>
      <w:pgSz w:w="11906" w:h="16838"/>
      <w:pgMar w:left="2494" w:right="2494" w:header="2381" w:top="2948" w:footer="0" w:bottom="2948" w:gutter="0"/>
      <w:pgNumType w:fmt="decimal"/>
      <w:formProt w:val="false"/>
      <w:titlePg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2</w:t>
    </w:r>
    <w:r>
      <w:rPr/>
      <w:fldChar w:fldCharType="end"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jc w:val="right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0</w:t>
    </w:r>
    <w:r>
      <w:rPr/>
      <w:fldChar w:fldCharType="end"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sz w:val="20"/>
        <w:i/>
        <w:b w:val="false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">
    <w:lvl w:ilvl="0">
      <w:start w:val="1"/>
      <w:numFmt w:val="decimal"/>
      <w:lvlText w:val="%1."/>
      <w:lvlJc w:val="right"/>
      <w:pPr>
        <w:tabs>
          <w:tab w:val="num" w:pos="341"/>
        </w:tabs>
        <w:ind w:left="341" w:hanging="114"/>
      </w:p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</w:lvl>
  </w:abstractNum>
  <w:abstractNum w:abstractNumId="3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10"/>
  <w:defaultTabStop w:val="227"/>
  <w:autoHyphenation w:val="true"/>
  <w:evenAndOddHeaders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Noto Serif CJK SC" w:cs="Times New Roman"/>
        <w:lang w:val="en-US" w:eastAsia="en-US" w:bidi="ar-SA"/>
      </w:rPr>
    </w:rPrDefault>
    <w:pPrDefault>
      <w:pPr/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styleId="Normal" w:default="1">
    <w:name w:val="Normal"/>
    <w:qFormat/>
    <w:rsid w:val="00ce7667"/>
    <w:pPr>
      <w:widowControl/>
      <w:suppressAutoHyphens w:val="false"/>
      <w:overflowPunct w:val="true"/>
      <w:bidi w:val="0"/>
      <w:spacing w:lineRule="atLeast" w:line="240" w:before="0" w:after="0"/>
      <w:ind w:firstLine="227"/>
      <w:jc w:val="both"/>
      <w:textAlignment w:val="baseline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Heading1">
    <w:name w:val="Heading 1"/>
    <w:basedOn w:val="Normal"/>
    <w:next w:val="P1a"/>
    <w:semiHidden/>
    <w:unhideWhenUsed/>
    <w:qFormat/>
    <w:pPr>
      <w:keepNext w:val="true"/>
      <w:keepLines/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">
    <w:name w:val="Heading 2"/>
    <w:basedOn w:val="Normal"/>
    <w:next w:val="P1a"/>
    <w:semiHidden/>
    <w:unhideWhenUsed/>
    <w:qFormat/>
    <w:pPr>
      <w:keepNext w:val="true"/>
      <w:keepLines/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 w:after="0"/>
      <w:ind w:hanging="0"/>
      <w:outlineLvl w:val="2"/>
    </w:pPr>
    <w:rPr/>
  </w:style>
  <w:style w:type="paragraph" w:styleId="Heading4">
    <w:name w:val="Heading 4"/>
    <w:basedOn w:val="Normal"/>
    <w:next w:val="Normal"/>
    <w:qFormat/>
    <w:pPr>
      <w:spacing w:before="240" w:after="0"/>
      <w:ind w:hanging="0"/>
      <w:outlineLvl w:val="3"/>
    </w:pPr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Email" w:customStyle="1">
    <w:name w:val="e-mail"/>
    <w:basedOn w:val="DefaultParagraphFont"/>
    <w:qFormat/>
    <w:rPr>
      <w:rFonts w:ascii="Courier" w:hAnsi="Courier"/>
    </w:rPr>
  </w:style>
  <w:style w:type="character" w:styleId="FootnoteCharacters">
    <w:name w:val="Footnote Characters"/>
    <w:basedOn w:val="DefaultParagraphFont"/>
    <w:semiHidden/>
    <w:unhideWhenUsed/>
    <w:qFormat/>
    <w:rPr>
      <w:vertAlign w:val="superscript"/>
    </w:rPr>
  </w:style>
  <w:style w:type="character" w:styleId="FootnoteAnchor">
    <w:name w:val="Footnote Anchor"/>
    <w:rPr>
      <w:vertAlign w:val="superscript"/>
    </w:rPr>
  </w:style>
  <w:style w:type="character" w:styleId="Heading31" w:customStyle="1">
    <w:name w:val="heading3"/>
    <w:basedOn w:val="DefaultParagraphFont"/>
    <w:qFormat/>
    <w:rPr>
      <w:b/>
    </w:rPr>
  </w:style>
  <w:style w:type="character" w:styleId="Heading41" w:customStyle="1">
    <w:name w:val="heading4"/>
    <w:basedOn w:val="DefaultParagraphFont"/>
    <w:qFormat/>
    <w:rPr>
      <w:i/>
    </w:rPr>
  </w:style>
  <w:style w:type="character" w:styleId="InternetLink">
    <w:name w:val="Internet Link"/>
    <w:basedOn w:val="DefaultParagraphFont"/>
    <w:semiHidden/>
    <w:unhideWhenUsed/>
    <w:rPr>
      <w:color w:val="auto"/>
      <w:u w:val="none"/>
    </w:rPr>
  </w:style>
  <w:style w:type="character" w:styleId="Pagenumber">
    <w:name w:val="page number"/>
    <w:basedOn w:val="DefaultParagraphFont"/>
    <w:semiHidden/>
    <w:unhideWhenUsed/>
    <w:qFormat/>
    <w:rPr>
      <w:sz w:val="18"/>
    </w:rPr>
  </w:style>
  <w:style w:type="character" w:styleId="Url" w:customStyle="1">
    <w:name w:val="url"/>
    <w:basedOn w:val="DefaultParagraphFont"/>
    <w:qFormat/>
    <w:rPr>
      <w:rFonts w:ascii="Courier" w:hAnsi="Courier"/>
    </w:rPr>
  </w:style>
  <w:style w:type="character" w:styleId="ORCID" w:customStyle="1">
    <w:name w:val="ORCID"/>
    <w:basedOn w:val="DefaultParagraphFont"/>
    <w:qFormat/>
    <w:rPr>
      <w:vertAlign w:val="superscript"/>
    </w:rPr>
  </w:style>
  <w:style w:type="character" w:styleId="ListLabel1">
    <w:name w:val="ListLabel 1"/>
    <w:qFormat/>
    <w:rPr>
      <w:rFonts w:cs="Times New Roman"/>
    </w:rPr>
  </w:style>
  <w:style w:type="character" w:styleId="ListLabel2">
    <w:name w:val="ListLabel 2"/>
    <w:qFormat/>
    <w:rPr>
      <w:rFonts w:cs="Times New Roman"/>
    </w:rPr>
  </w:style>
  <w:style w:type="character" w:styleId="ListLabel3">
    <w:name w:val="ListLabel 3"/>
    <w:qFormat/>
    <w:rPr>
      <w:rFonts w:cs="Times New Roman"/>
    </w:rPr>
  </w:style>
  <w:style w:type="character" w:styleId="ListLabel4">
    <w:name w:val="ListLabel 4"/>
    <w:qFormat/>
    <w:rPr>
      <w:rFonts w:cs="Times New Roman"/>
    </w:rPr>
  </w:style>
  <w:style w:type="character" w:styleId="ListLabel5">
    <w:name w:val="ListLabel 5"/>
    <w:qFormat/>
    <w:rPr>
      <w:rFonts w:cs="Times New Roman"/>
    </w:rPr>
  </w:style>
  <w:style w:type="character" w:styleId="ListLabel6">
    <w:name w:val="ListLabel 6"/>
    <w:qFormat/>
    <w:rPr>
      <w:rFonts w:cs="Times New Roman"/>
    </w:rPr>
  </w:style>
  <w:style w:type="character" w:styleId="ListLabel7">
    <w:name w:val="ListLabel 7"/>
    <w:qFormat/>
    <w:rPr>
      <w:rFonts w:cs="Times New Roman"/>
    </w:rPr>
  </w:style>
  <w:style w:type="character" w:styleId="ListLabel8">
    <w:name w:val="ListLabel 8"/>
    <w:qFormat/>
    <w:rPr>
      <w:rFonts w:cs="Times New Roman"/>
    </w:rPr>
  </w:style>
  <w:style w:type="character" w:styleId="ListLabel9">
    <w:name w:val="ListLabel 9"/>
    <w:qFormat/>
    <w:rPr>
      <w:rFonts w:cs="Times New Roman"/>
    </w:rPr>
  </w:style>
  <w:style w:type="character" w:styleId="ListLabel10">
    <w:name w:val="ListLabel 10"/>
    <w:qFormat/>
    <w:rPr>
      <w:rFonts w:cs="Times New Roman"/>
    </w:rPr>
  </w:style>
  <w:style w:type="character" w:styleId="ListLabel11">
    <w:name w:val="ListLabel 11"/>
    <w:qFormat/>
    <w:rPr>
      <w:rFonts w:cs="Times New Roman"/>
    </w:rPr>
  </w:style>
  <w:style w:type="character" w:styleId="ListLabel12">
    <w:name w:val="ListLabel 12"/>
    <w:qFormat/>
    <w:rPr>
      <w:rFonts w:cs="Times New Roman"/>
    </w:rPr>
  </w:style>
  <w:style w:type="character" w:styleId="ListLabel13">
    <w:name w:val="ListLabel 13"/>
    <w:qFormat/>
    <w:rPr>
      <w:rFonts w:cs="Times New Roman"/>
    </w:rPr>
  </w:style>
  <w:style w:type="character" w:styleId="ListLabel14">
    <w:name w:val="ListLabel 14"/>
    <w:qFormat/>
    <w:rPr>
      <w:rFonts w:cs="Times New Roman"/>
    </w:rPr>
  </w:style>
  <w:style w:type="character" w:styleId="ListLabel15">
    <w:name w:val="ListLabel 15"/>
    <w:qFormat/>
    <w:rPr>
      <w:rFonts w:cs="Times New Roman"/>
    </w:rPr>
  </w:style>
  <w:style w:type="character" w:styleId="ListLabel16">
    <w:name w:val="ListLabel 16"/>
    <w:qFormat/>
    <w:rPr>
      <w:rFonts w:cs="Times New Roman"/>
    </w:rPr>
  </w:style>
  <w:style w:type="character" w:styleId="ListLabel17">
    <w:name w:val="ListLabel 17"/>
    <w:qFormat/>
    <w:rPr>
      <w:b w:val="false"/>
      <w:i/>
      <w:sz w:val="20"/>
    </w:rPr>
  </w:style>
  <w:style w:type="character" w:styleId="ListLabel18">
    <w:name w:val="ListLabel 18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Abstract" w:customStyle="1">
    <w:name w:val="abstract"/>
    <w:basedOn w:val="Normal"/>
    <w:qFormat/>
    <w:pPr>
      <w:spacing w:lineRule="atLeast" w:line="220" w:before="600" w:after="360"/>
      <w:ind w:left="567" w:right="567" w:firstLine="227"/>
      <w:contextualSpacing/>
    </w:pPr>
    <w:rPr>
      <w:sz w:val="18"/>
    </w:rPr>
  </w:style>
  <w:style w:type="paragraph" w:styleId="Address" w:customStyle="1">
    <w:name w:val="address"/>
    <w:basedOn w:val="Normal"/>
    <w:qFormat/>
    <w:pPr>
      <w:spacing w:lineRule="atLeast" w:line="220" w:before="0" w:after="200"/>
      <w:ind w:hanging="0"/>
      <w:contextualSpacing/>
      <w:jc w:val="center"/>
    </w:pPr>
    <w:rPr>
      <w:sz w:val="18"/>
    </w:rPr>
  </w:style>
  <w:style w:type="paragraph" w:styleId="Author" w:customStyle="1">
    <w:name w:val="author"/>
    <w:basedOn w:val="Normal"/>
    <w:next w:val="Address"/>
    <w:qFormat/>
    <w:pPr>
      <w:spacing w:lineRule="atLeast" w:line="220" w:before="0" w:after="200"/>
      <w:ind w:hanging="0"/>
      <w:jc w:val="center"/>
    </w:pPr>
    <w:rPr/>
  </w:style>
  <w:style w:type="paragraph" w:styleId="Bulletitem" w:customStyle="1">
    <w:name w:val="bulletitem"/>
    <w:basedOn w:val="Normal"/>
    <w:qFormat/>
    <w:pPr>
      <w:spacing w:before="160" w:after="160"/>
      <w:contextualSpacing/>
    </w:pPr>
    <w:rPr/>
  </w:style>
  <w:style w:type="paragraph" w:styleId="Dashitem" w:customStyle="1">
    <w:name w:val="dashitem"/>
    <w:basedOn w:val="Normal"/>
    <w:qFormat/>
    <w:pPr>
      <w:spacing w:before="160" w:after="160"/>
      <w:contextualSpacing/>
    </w:pPr>
    <w:rPr/>
  </w:style>
  <w:style w:type="paragraph" w:styleId="Equation" w:customStyle="1">
    <w:name w:val="equation"/>
    <w:basedOn w:val="Normal"/>
    <w:next w:val="Normal"/>
    <w:qFormat/>
    <w:pPr>
      <w:tabs>
        <w:tab w:val="clear" w:pos="227"/>
        <w:tab w:val="center" w:pos="3289" w:leader="none"/>
        <w:tab w:val="right" w:pos="6917" w:leader="none"/>
      </w:tabs>
      <w:spacing w:before="160" w:after="160"/>
      <w:ind w:hanging="0"/>
    </w:pPr>
    <w:rPr/>
  </w:style>
  <w:style w:type="paragraph" w:styleId="Figurecaption" w:customStyle="1">
    <w:name w:val="figurecaption"/>
    <w:basedOn w:val="Normal"/>
    <w:next w:val="Normal"/>
    <w:qFormat/>
    <w:pPr>
      <w:keepLines/>
      <w:spacing w:lineRule="atLeast" w:line="220" w:before="120" w:after="240"/>
      <w:ind w:hanging="0"/>
      <w:jc w:val="center"/>
    </w:pPr>
    <w:rPr>
      <w:sz w:val="18"/>
    </w:rPr>
  </w:style>
  <w:style w:type="paragraph" w:styleId="Footer">
    <w:name w:val="Footer"/>
    <w:basedOn w:val="Normal"/>
    <w:semiHidden/>
    <w:unhideWhenUsed/>
    <w:pPr/>
    <w:rPr>
      <w:rFonts w:ascii="Times New Roman" w:hAnsi="Times New Roman" w:eastAsia="Times New Roman"/>
      <w:sz w:val="20"/>
      <w:szCs w:val="20"/>
    </w:rPr>
  </w:style>
  <w:style w:type="paragraph" w:styleId="Heading11" w:customStyle="1">
    <w:name w:val="heading1"/>
    <w:basedOn w:val="Normal"/>
    <w:next w:val="P1a"/>
    <w:qFormat/>
    <w:pPr>
      <w:keepNext w:val="true"/>
      <w:keepLines/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1" w:customStyle="1">
    <w:name w:val="heading2"/>
    <w:basedOn w:val="Normal"/>
    <w:next w:val="P1a"/>
    <w:qFormat/>
    <w:pPr>
      <w:keepNext w:val="true"/>
      <w:keepLines/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Image" w:customStyle="1">
    <w:name w:val="image"/>
    <w:basedOn w:val="Normal"/>
    <w:next w:val="Normal"/>
    <w:qFormat/>
    <w:pPr>
      <w:spacing w:before="240" w:after="120"/>
      <w:ind w:hanging="0"/>
      <w:jc w:val="center"/>
    </w:pPr>
    <w:rPr/>
  </w:style>
  <w:style w:type="paragraph" w:styleId="Keywords" w:customStyle="1">
    <w:name w:val="keywords"/>
    <w:basedOn w:val="Abstract"/>
    <w:next w:val="Heading11"/>
    <w:qFormat/>
    <w:pPr>
      <w:spacing w:before="220" w:after="360"/>
      <w:ind w:left="567" w:right="567" w:hanging="0"/>
      <w:jc w:val="left"/>
    </w:pPr>
    <w:rPr/>
  </w:style>
  <w:style w:type="paragraph" w:styleId="Header">
    <w:name w:val="Header"/>
    <w:basedOn w:val="Normal"/>
    <w:semiHidden/>
    <w:unhideWhenUsed/>
    <w:pPr>
      <w:tabs>
        <w:tab w:val="clear" w:pos="227"/>
        <w:tab w:val="center" w:pos="4536" w:leader="none"/>
        <w:tab w:val="right" w:pos="9072" w:leader="none"/>
      </w:tabs>
      <w:ind w:hanging="0"/>
    </w:pPr>
    <w:rPr>
      <w:sz w:val="18"/>
      <w:szCs w:val="18"/>
    </w:rPr>
  </w:style>
  <w:style w:type="paragraph" w:styleId="Numitem" w:customStyle="1">
    <w:name w:val="numitem"/>
    <w:basedOn w:val="Normal"/>
    <w:qFormat/>
    <w:pPr>
      <w:spacing w:before="160" w:after="160"/>
      <w:contextualSpacing/>
    </w:pPr>
    <w:rPr/>
  </w:style>
  <w:style w:type="paragraph" w:styleId="P1a" w:customStyle="1">
    <w:name w:val="p1a"/>
    <w:basedOn w:val="Normal"/>
    <w:next w:val="Normal"/>
    <w:qFormat/>
    <w:pPr>
      <w:ind w:hanging="0"/>
    </w:pPr>
    <w:rPr/>
  </w:style>
  <w:style w:type="paragraph" w:styleId="Programcode" w:customStyle="1">
    <w:name w:val="programcode"/>
    <w:basedOn w:val="Normal"/>
    <w:qFormat/>
    <w:pPr>
      <w:tabs>
        <w:tab w:val="left" w:pos="227" w:leader="none"/>
        <w:tab w:val="left" w:pos="454" w:leader="none"/>
        <w:tab w:val="left" w:pos="680" w:leader="none"/>
        <w:tab w:val="left" w:pos="907" w:leader="none"/>
        <w:tab w:val="left" w:pos="1134" w:leader="none"/>
        <w:tab w:val="left" w:pos="1361" w:leader="none"/>
        <w:tab w:val="left" w:pos="1588" w:leader="none"/>
        <w:tab w:val="left" w:pos="1814" w:leader="none"/>
        <w:tab w:val="left" w:pos="2041" w:leader="none"/>
        <w:tab w:val="left" w:pos="2268" w:leader="none"/>
        <w:tab w:val="left" w:pos="2495" w:leader="none"/>
        <w:tab w:val="left" w:pos="2722" w:leader="none"/>
        <w:tab w:val="left" w:pos="2948" w:leader="none"/>
        <w:tab w:val="left" w:pos="3175" w:leader="none"/>
        <w:tab w:val="left" w:pos="3402" w:leader="none"/>
        <w:tab w:val="left" w:pos="3629" w:leader="none"/>
        <w:tab w:val="left" w:pos="3856" w:leader="none"/>
        <w:tab w:val="left" w:pos="4082" w:leader="none"/>
        <w:tab w:val="left" w:pos="4309" w:leader="none"/>
        <w:tab w:val="left" w:pos="4536" w:leader="none"/>
        <w:tab w:val="left" w:pos="4763" w:leader="none"/>
        <w:tab w:val="left" w:pos="4990" w:leader="none"/>
        <w:tab w:val="left" w:pos="5216" w:leader="none"/>
        <w:tab w:val="left" w:pos="5443" w:leader="none"/>
        <w:tab w:val="left" w:pos="5670" w:leader="none"/>
        <w:tab w:val="left" w:pos="5897" w:leader="none"/>
        <w:tab w:val="left" w:pos="6124" w:leader="none"/>
        <w:tab w:val="left" w:pos="6350" w:leader="none"/>
        <w:tab w:val="left" w:pos="6577" w:leader="none"/>
      </w:tabs>
      <w:spacing w:before="160" w:after="160"/>
      <w:ind w:hanging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qFormat/>
    <w:pPr>
      <w:spacing w:lineRule="atLeast" w:line="220"/>
    </w:pPr>
    <w:rPr>
      <w:sz w:val="18"/>
    </w:rPr>
  </w:style>
  <w:style w:type="paragraph" w:styleId="Runningheadleft" w:customStyle="1">
    <w:name w:val="running head - left"/>
    <w:basedOn w:val="Normal"/>
    <w:qFormat/>
    <w:pPr>
      <w:ind w:hanging="0"/>
      <w:jc w:val="left"/>
    </w:pPr>
    <w:rPr>
      <w:sz w:val="18"/>
      <w:szCs w:val="18"/>
    </w:rPr>
  </w:style>
  <w:style w:type="paragraph" w:styleId="Runningheadright" w:customStyle="1">
    <w:name w:val="running head - right"/>
    <w:basedOn w:val="Normal"/>
    <w:qFormat/>
    <w:pPr>
      <w:ind w:hanging="0"/>
      <w:jc w:val="right"/>
    </w:pPr>
    <w:rPr>
      <w:bCs/>
      <w:sz w:val="18"/>
      <w:szCs w:val="18"/>
    </w:rPr>
  </w:style>
  <w:style w:type="paragraph" w:styleId="Papertitle" w:customStyle="1">
    <w:name w:val="papertitle"/>
    <w:basedOn w:val="Normal"/>
    <w:next w:val="Author"/>
    <w:qFormat/>
    <w:pPr>
      <w:keepNext w:val="true"/>
      <w:keepLines/>
      <w:suppressAutoHyphens w:val="true"/>
      <w:spacing w:lineRule="atLeast" w:line="360" w:before="0" w:after="480"/>
      <w:ind w:hanging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qFormat/>
    <w:pPr>
      <w:spacing w:lineRule="atLeast" w:line="280" w:before="120" w:after="480"/>
    </w:pPr>
    <w:rPr>
      <w:sz w:val="24"/>
    </w:rPr>
  </w:style>
  <w:style w:type="paragraph" w:styleId="Tablecaption" w:customStyle="1">
    <w:name w:val="tablecaption"/>
    <w:basedOn w:val="Normal"/>
    <w:next w:val="Normal"/>
    <w:qFormat/>
    <w:pPr>
      <w:keepNext w:val="true"/>
      <w:keepLines/>
      <w:spacing w:lineRule="atLeast" w:line="220" w:before="240" w:after="120"/>
      <w:ind w:hanging="0"/>
      <w:jc w:val="center"/>
    </w:pPr>
    <w:rPr>
      <w:sz w:val="18"/>
    </w:rPr>
  </w:style>
  <w:style w:type="paragraph" w:styleId="Footnote">
    <w:name w:val="Footnote Text"/>
    <w:basedOn w:val="Normal"/>
    <w:semiHidden/>
    <w:pPr>
      <w:spacing w:lineRule="atLeast" w:line="220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qFormat/>
    <w:pPr>
      <w:spacing w:lineRule="exact" w:line="200"/>
    </w:pPr>
    <w:rPr>
      <w:sz w:val="16"/>
    </w:rPr>
  </w:style>
  <w:style w:type="numbering" w:styleId="NoList" w:default="1">
    <w:name w:val="No List"/>
    <w:uiPriority w:val="99"/>
    <w:semiHidden/>
    <w:unhideWhenUsed/>
    <w:qFormat/>
  </w:style>
  <w:style w:type="numbering" w:styleId="Arabnumitem" w:customStyle="1">
    <w:name w:val="arabnumitem"/>
    <w:qFormat/>
  </w:style>
  <w:style w:type="numbering" w:styleId="Headings" w:customStyle="1">
    <w:name w:val="headings"/>
    <w:qFormat/>
  </w:style>
  <w:style w:type="numbering" w:styleId="Itemization1" w:customStyle="1">
    <w:name w:val="itemization1"/>
    <w:qFormat/>
  </w:style>
  <w:style w:type="numbering" w:styleId="Itemization2" w:customStyle="1">
    <w:name w:val="itemization2"/>
    <w:qFormat/>
  </w:style>
  <w:style w:type="numbering" w:styleId="Referencelist" w:customStyle="1">
    <w:name w:val="referencelist"/>
    <w:semiHidden/>
    <w:qFormat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hart" Target="charts/chart1.xml"/><Relationship Id="rId3" Type="http://schemas.openxmlformats.org/officeDocument/2006/relationships/hyperlink" Target="http://www.springer.com/lncs" TargetMode="External"/><Relationship Id="rId4" Type="http://schemas.openxmlformats.org/officeDocument/2006/relationships/header" Target="header1.xml"/><Relationship Id="rId5" Type="http://schemas.openxmlformats.org/officeDocument/2006/relationships/header" Target="header2.xml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en-US"/>
  <c:roundedCorners val="0"/>
  <c:chart>
    <c:plotArea>
      <c:layout>
        <c:manualLayout>
          <c:layoutTarget val="inner"/>
          <c:xMode val="edge"/>
          <c:yMode val="edge"/>
          <c:x val="0.05075"/>
          <c:y val="0.0514444444444445"/>
          <c:w val="0.9405"/>
          <c:h val="0.832666666666667"/>
        </c:manualLayout>
      </c:layout>
      <c:lineChart>
        <c:grouping val="standard"/>
        <c:varyColors val="0"/>
        <c:ser>
          <c:idx val="0"/>
          <c:order val="0"/>
          <c:tx>
            <c:strRef>
              <c:f>label 0</c:f>
              <c:strCache>
                <c:ptCount val="1"/>
                <c:pt idx="0">
                  <c:v>Data A</c:v>
                </c:pt>
              </c:strCache>
            </c:strRef>
          </c:tx>
          <c:spPr>
            <a:solidFill>
              <a:srgbClr val="000000"/>
            </a:solidFill>
            <a:ln w="12600">
              <a:solidFill>
                <a:srgbClr val="000000"/>
              </a:solidFill>
              <a:prstDash val="sysDash"/>
              <a:round/>
            </a:ln>
          </c:spPr>
          <c:marker>
            <c:symbol val="none"/>
          </c:marker>
          <c:dPt>
            <c:idx val="9"/>
            <c:spPr>
              <a:solidFill>
                <a:srgbClr val="000000"/>
              </a:solidFill>
              <a:ln w="12600">
                <a:solidFill>
                  <a:srgbClr val="000000"/>
                </a:solidFill>
                <a:prstDash val="sysDash"/>
                <a:round/>
              </a:ln>
            </c:spPr>
          </c:dPt>
          <c:dLbls>
            <c:numFmt formatCode="[$-1080409]S&quot;tan&quot;D\aYYYYD" sourceLinked="1"/>
            <c:dLbl>
              <c:idx val="9"/>
              <c:txPr>
                <a:bodyPr/>
                <a:lstStyle/>
                <a:p>
                  <a:pPr>
                    <a:defRPr b="0" sz="800" spc="-1" strike="noStrike">
                      <a:solidFill>
                        <a:srgbClr val="000000"/>
                      </a:solidFill>
                      <a:latin typeface="Calibri"/>
                    </a:defRPr>
                  </a:pPr>
                </a:p>
              </c:txPr>
              <c:dLblPos val="r"/>
              <c:showLegendKey val="0"/>
              <c:showVal val="0"/>
              <c:showCatName val="0"/>
              <c:showSerName val="0"/>
              <c:showPercent val="0"/>
              <c:separator>; </c:separator>
            </c:dLbl>
            <c:txPr>
              <a:bodyPr/>
              <a:lstStyle/>
              <a:p>
                <a:pPr>
                  <a:defRPr b="0" sz="800" spc="-1" strike="noStrike">
                    <a:solidFill>
                      <a:srgbClr val="000000"/>
                    </a:solidFill>
                    <a:latin typeface="Calibri"/>
                  </a:defRPr>
                </a:pPr>
              </a:p>
            </c:txPr>
            <c:dLblPos val="r"/>
            <c:showLegendKey val="0"/>
            <c:showVal val="0"/>
            <c:showCatName val="0"/>
            <c:showSerName val="0"/>
            <c:showPercent val="0"/>
            <c:separator>; </c:separator>
            <c:showLeaderLines val="0"/>
          </c:dLbls>
          <c:cat>
            <c:strRef>
              <c:f>categories</c:f>
              <c:strCache>
                <c:ptCount val="31"/>
                <c:pt idx="0">
                  <c:v>0tan28a566028</c:v>
                </c:pt>
                <c:pt idx="1">
                  <c:v>0tan29a566029</c:v>
                </c:pt>
                <c:pt idx="2">
                  <c:v>0tan1a56601</c:v>
                </c:pt>
                <c:pt idx="3">
                  <c:v>0tan2a56602</c:v>
                </c:pt>
                <c:pt idx="4">
                  <c:v>0tan3a56603</c:v>
                </c:pt>
                <c:pt idx="5">
                  <c:v>0tan4a56604</c:v>
                </c:pt>
                <c:pt idx="6">
                  <c:v>0tan5a56605</c:v>
                </c:pt>
                <c:pt idx="7">
                  <c:v>0tan6a56606</c:v>
                </c:pt>
                <c:pt idx="8">
                  <c:v>0tan7a56607</c:v>
                </c:pt>
                <c:pt idx="9">
                  <c:v>0tan8a56608</c:v>
                </c:pt>
                <c:pt idx="10">
                  <c:v>0tan9a56609</c:v>
                </c:pt>
                <c:pt idx="11">
                  <c:v>0tan10a566010</c:v>
                </c:pt>
                <c:pt idx="12">
                  <c:v>0tan11a566011</c:v>
                </c:pt>
                <c:pt idx="13">
                  <c:v>0tan12a566012</c:v>
                </c:pt>
                <c:pt idx="14">
                  <c:v>0tan13a566013</c:v>
                </c:pt>
                <c:pt idx="15">
                  <c:v>0tan14a566014</c:v>
                </c:pt>
                <c:pt idx="16">
                  <c:v>0tan15a566015</c:v>
                </c:pt>
                <c:pt idx="17">
                  <c:v>0tan16a566016</c:v>
                </c:pt>
                <c:pt idx="18">
                  <c:v>0tan17a566017</c:v>
                </c:pt>
                <c:pt idx="19">
                  <c:v>0tan18a566018</c:v>
                </c:pt>
                <c:pt idx="20">
                  <c:v>0tan19a566019</c:v>
                </c:pt>
                <c:pt idx="21">
                  <c:v>0tan20a566020</c:v>
                </c:pt>
                <c:pt idx="22">
                  <c:v>0tan21a566021</c:v>
                </c:pt>
                <c:pt idx="23">
                  <c:v>0tan22a566022</c:v>
                </c:pt>
                <c:pt idx="24">
                  <c:v>0tan23a566023</c:v>
                </c:pt>
                <c:pt idx="25">
                  <c:v>0tan24a566024</c:v>
                </c:pt>
                <c:pt idx="26">
                  <c:v>0tan25a566025</c:v>
                </c:pt>
                <c:pt idx="27">
                  <c:v>0tan26a566026</c:v>
                </c:pt>
                <c:pt idx="28">
                  <c:v>0tan27a566027</c:v>
                </c:pt>
                <c:pt idx="29">
                  <c:v>0tan28a566028</c:v>
                </c:pt>
                <c:pt idx="30">
                  <c:v>0tan29a566029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label 1</c:f>
              <c:strCache>
                <c:ptCount val="1"/>
                <c:pt idx="0">
                  <c:v>Data B</c:v>
                </c:pt>
              </c:strCache>
            </c:strRef>
          </c:tx>
          <c:spPr>
            <a:solidFill>
              <a:srgbClr val="be4b48"/>
            </a:solidFill>
            <a:ln w="12600">
              <a:solidFill>
                <a:srgbClr val="be4b48"/>
              </a:solidFill>
              <a:round/>
            </a:ln>
          </c:spPr>
          <c:marker>
            <c:symbol val="none"/>
          </c:marker>
          <c:dLbls>
            <c:numFmt formatCode="[$-1080409]S&quot;tan&quot;D\aYYYYD" sourceLinked="1"/>
            <c:txPr>
              <a:bodyPr/>
              <a:lstStyle/>
              <a:p>
                <a:pPr>
                  <a:defRPr b="0" sz="800" spc="-1" strike="noStrike">
                    <a:solidFill>
                      <a:srgbClr val="000000"/>
                    </a:solidFill>
                    <a:latin typeface="Calibri"/>
                  </a:defRPr>
                </a:pPr>
              </a:p>
            </c:txPr>
            <c:dLblPos val="r"/>
            <c:showLegendKey val="0"/>
            <c:showVal val="0"/>
            <c:showCatName val="0"/>
            <c:showSerName val="0"/>
            <c:showPercent val="0"/>
            <c:separator>; </c:separator>
            <c:showLeaderLines val="0"/>
          </c:dLbls>
          <c:cat>
            <c:strRef>
              <c:f>categories</c:f>
              <c:strCache>
                <c:ptCount val="31"/>
                <c:pt idx="0">
                  <c:v>0tan28a566028</c:v>
                </c:pt>
                <c:pt idx="1">
                  <c:v>0tan29a566029</c:v>
                </c:pt>
                <c:pt idx="2">
                  <c:v>0tan1a56601</c:v>
                </c:pt>
                <c:pt idx="3">
                  <c:v>0tan2a56602</c:v>
                </c:pt>
                <c:pt idx="4">
                  <c:v>0tan3a56603</c:v>
                </c:pt>
                <c:pt idx="5">
                  <c:v>0tan4a56604</c:v>
                </c:pt>
                <c:pt idx="6">
                  <c:v>0tan5a56605</c:v>
                </c:pt>
                <c:pt idx="7">
                  <c:v>0tan6a56606</c:v>
                </c:pt>
                <c:pt idx="8">
                  <c:v>0tan7a56607</c:v>
                </c:pt>
                <c:pt idx="9">
                  <c:v>0tan8a56608</c:v>
                </c:pt>
                <c:pt idx="10">
                  <c:v>0tan9a56609</c:v>
                </c:pt>
                <c:pt idx="11">
                  <c:v>0tan10a566010</c:v>
                </c:pt>
                <c:pt idx="12">
                  <c:v>0tan11a566011</c:v>
                </c:pt>
                <c:pt idx="13">
                  <c:v>0tan12a566012</c:v>
                </c:pt>
                <c:pt idx="14">
                  <c:v>0tan13a566013</c:v>
                </c:pt>
                <c:pt idx="15">
                  <c:v>0tan14a566014</c:v>
                </c:pt>
                <c:pt idx="16">
                  <c:v>0tan15a566015</c:v>
                </c:pt>
                <c:pt idx="17">
                  <c:v>0tan16a566016</c:v>
                </c:pt>
                <c:pt idx="18">
                  <c:v>0tan17a566017</c:v>
                </c:pt>
                <c:pt idx="19">
                  <c:v>0tan18a566018</c:v>
                </c:pt>
                <c:pt idx="20">
                  <c:v>0tan19a566019</c:v>
                </c:pt>
                <c:pt idx="21">
                  <c:v>0tan20a566020</c:v>
                </c:pt>
                <c:pt idx="22">
                  <c:v>0tan21a566021</c:v>
                </c:pt>
                <c:pt idx="23">
                  <c:v>0tan22a566022</c:v>
                </c:pt>
                <c:pt idx="24">
                  <c:v>0tan23a566023</c:v>
                </c:pt>
                <c:pt idx="25">
                  <c:v>0tan24a566024</c:v>
                </c:pt>
                <c:pt idx="26">
                  <c:v>0tan25a566025</c:v>
                </c:pt>
                <c:pt idx="27">
                  <c:v>0tan26a566026</c:v>
                </c:pt>
                <c:pt idx="28">
                  <c:v>0tan27a566027</c:v>
                </c:pt>
                <c:pt idx="29">
                  <c:v>0tan28a566028</c:v>
                </c:pt>
                <c:pt idx="30">
                  <c:v>0tan29a566029</c:v>
                </c:pt>
              </c:strCache>
            </c:strRef>
          </c:cat>
          <c:val>
            <c:numRef>
              <c:f>1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>
                  <c:v>24</c:v>
                </c:pt>
                <c:pt idx="22">
                  <c:v>25</c:v>
                </c:pt>
                <c:pt idx="23">
                  <c:v>23.5</c:v>
                </c:pt>
                <c:pt idx="24">
                  <c:v>21</c:v>
                </c:pt>
                <c:pt idx="25">
                  <c:v>16.9</c:v>
                </c:pt>
                <c:pt idx="26">
                  <c:v>17.5</c:v>
                </c:pt>
                <c:pt idx="27">
                  <c:v>18.2</c:v>
                </c:pt>
                <c:pt idx="28">
                  <c:v>19.1</c:v>
                </c:pt>
                <c:pt idx="29">
                  <c:v>14.8</c:v>
                </c:pt>
                <c:pt idx="30">
                  <c:v>15.2</c:v>
                </c:pt>
              </c:numCache>
            </c:numRef>
          </c:val>
          <c:smooth val="0"/>
        </c:ser>
        <c:hiLowLines>
          <c:spPr>
            <a:ln>
              <a:noFill/>
            </a:ln>
          </c:spPr>
        </c:hiLowLines>
        <c:marker val="0"/>
        <c:axId val="8537648"/>
        <c:axId val="991151"/>
      </c:lineChart>
      <c:catAx>
        <c:axId val="8537648"/>
        <c:scaling>
          <c:orientation val="minMax"/>
        </c:scaling>
        <c:delete val="0"/>
        <c:axPos val="b"/>
        <c:numFmt formatCode="[$-409]MM/DD/YYYY" sourceLinked="1"/>
        <c:majorTickMark val="out"/>
        <c:minorTickMark val="none"/>
        <c:tickLblPos val="nextTo"/>
        <c:spPr>
          <a:ln w="9360">
            <a:solidFill>
              <a:srgbClr val="878787"/>
            </a:solidFill>
            <a:round/>
          </a:ln>
        </c:spPr>
        <c:txPr>
          <a:bodyPr/>
          <a:lstStyle/>
          <a:p>
            <a:pPr>
              <a:defRPr b="0" sz="800" spc="-1" strike="noStrike">
                <a:solidFill>
                  <a:srgbClr val="000000"/>
                </a:solidFill>
                <a:latin typeface="Calibri"/>
              </a:defRPr>
            </a:pPr>
          </a:p>
        </c:txPr>
        <c:crossAx val="991151"/>
        <c:crosses val="autoZero"/>
        <c:auto val="1"/>
        <c:lblAlgn val="ctr"/>
        <c:lblOffset val="100"/>
      </c:catAx>
      <c:valAx>
        <c:axId val="991151"/>
        <c:scaling>
          <c:orientation val="minMax"/>
        </c:scaling>
        <c:delete val="0"/>
        <c:axPos val="l"/>
        <c:numFmt formatCode="[$-1080409]S&quot;tan&quot;D\aYYYYD" sourceLinked="0"/>
        <c:majorTickMark val="out"/>
        <c:minorTickMark val="none"/>
        <c:tickLblPos val="nextTo"/>
        <c:spPr>
          <a:ln w="9360">
            <a:solidFill>
              <a:srgbClr val="878787"/>
            </a:solidFill>
            <a:round/>
          </a:ln>
        </c:spPr>
        <c:txPr>
          <a:bodyPr/>
          <a:lstStyle/>
          <a:p>
            <a:pPr>
              <a:defRPr b="0" sz="800" spc="-1" strike="noStrike">
                <a:solidFill>
                  <a:srgbClr val="000000"/>
                </a:solidFill>
                <a:latin typeface="Calibri"/>
              </a:defRPr>
            </a:pPr>
          </a:p>
        </c:txPr>
        <c:crossAx val="8537648"/>
        <c:crossesAt val="1"/>
        <c:crossBetween val="midCat"/>
      </c:valAx>
      <c:spPr>
        <a:solidFill>
          <a:srgbClr val="ffffff"/>
        </a:solidFill>
        <a:ln>
          <a:noFill/>
        </a:ln>
      </c:spPr>
    </c:plotArea>
    <c:legend>
      <c:layout>
        <c:manualLayout>
          <c:xMode val="edge"/>
          <c:yMode val="edge"/>
          <c:x val="0.1395625"/>
          <c:y val="0.166222222222222"/>
          <c:w val="0.190261891368211"/>
          <c:h val="0.167351927991999"/>
        </c:manualLayout>
      </c:layout>
      <c:spPr>
        <a:noFill/>
        <a:ln>
          <a:noFill/>
        </a:ln>
      </c:spPr>
      <c:txPr>
        <a:bodyPr/>
        <a:lstStyle/>
        <a:p>
          <a:pPr>
            <a:defRPr b="0" sz="800" spc="-1" strike="noStrike">
              <a:solidFill>
                <a:srgbClr val="000000"/>
              </a:solidFill>
              <a:latin typeface="Calibri"/>
            </a:defRPr>
          </a:pPr>
        </a:p>
      </c:txPr>
    </c:legend>
    <c:plotVisOnly val="1"/>
    <c:dispBlanksAs val="gap"/>
  </c:chart>
  <c:spPr>
    <a:solidFill>
      <a:srgbClr val="ffffff"/>
    </a:solidFill>
    <a:ln>
      <a:noFill/>
    </a:ln>
  </c:spPr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TotalTime>5</TotalTime>
  <Application>LibreOffice/6.2.7.1$Linux_X86_64 LibreOffice_project/20$Build-1</Application>
  <Pages>2</Pages>
  <Words>412</Words>
  <Characters>2429</Characters>
  <CharactersWithSpaces>2788</CharactersWithSpaces>
  <Paragraphs>46</Paragraphs>
  <Company>dataspect IT-Services, Neckargemuend, Germany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dc:language>en-US</dc:language>
  <cp:lastModifiedBy/>
  <dcterms:modified xsi:type="dcterms:W3CDTF">2019-11-12T17:42:24Z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Company">
    <vt:lpwstr>dataspect IT-Services, Neckargemuend, Germany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