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45" w:rsidRPr="00E42CA5" w:rsidRDefault="00E42CA5" w:rsidP="00E42CA5">
      <w:pPr>
        <w:jc w:val="center"/>
        <w:rPr>
          <w:rFonts w:ascii="Garamond" w:hAnsi="Garamond"/>
          <w:sz w:val="40"/>
        </w:rPr>
      </w:pPr>
      <w:r w:rsidRPr="00E42CA5">
        <w:rPr>
          <w:rFonts w:ascii="Garamond" w:hAnsi="Garamond"/>
          <w:sz w:val="40"/>
        </w:rPr>
        <w:t>Project Proposal</w:t>
      </w:r>
      <w:r>
        <w:rPr>
          <w:rFonts w:ascii="Garamond" w:hAnsi="Garamond"/>
          <w:sz w:val="40"/>
        </w:rPr>
        <w:t xml:space="preserve"> for second year summer paper</w:t>
      </w:r>
    </w:p>
    <w:p w:rsidR="00E42CA5" w:rsidRDefault="00E42CA5" w:rsidP="00E42CA5">
      <w:pPr>
        <w:jc w:val="center"/>
        <w:rPr>
          <w:rFonts w:ascii="Garamond" w:hAnsi="Garamond"/>
          <w:sz w:val="32"/>
        </w:rPr>
      </w:pPr>
    </w:p>
    <w:p w:rsidR="00E42CA5" w:rsidRPr="00E42CA5" w:rsidRDefault="00E42CA5" w:rsidP="00E42CA5">
      <w:pPr>
        <w:jc w:val="center"/>
        <w:rPr>
          <w:rFonts w:ascii="Garamond" w:hAnsi="Garamond"/>
          <w:sz w:val="32"/>
        </w:rPr>
      </w:pPr>
    </w:p>
    <w:p w:rsidR="00E42CA5" w:rsidRPr="00E42CA5" w:rsidRDefault="00E42CA5" w:rsidP="00E42CA5">
      <w:pPr>
        <w:jc w:val="center"/>
        <w:rPr>
          <w:rFonts w:ascii="Garamond" w:hAnsi="Garamond"/>
          <w:sz w:val="32"/>
        </w:rPr>
      </w:pPr>
    </w:p>
    <w:p w:rsidR="00E42CA5" w:rsidRPr="00E42CA5" w:rsidRDefault="00994F47" w:rsidP="00E42CA5">
      <w:pPr>
        <w:jc w:val="center"/>
        <w:rPr>
          <w:rFonts w:ascii="Garamond" w:hAnsi="Garamond"/>
          <w:sz w:val="32"/>
        </w:rPr>
      </w:pPr>
      <w:r>
        <w:rPr>
          <w:rFonts w:ascii="Garamond" w:hAnsi="Garamond"/>
          <w:sz w:val="32"/>
        </w:rPr>
        <w:t>Complementarity and Substitution of App-Category in App-Store</w:t>
      </w:r>
      <w:r w:rsidR="00E42CA5" w:rsidRPr="00E42CA5">
        <w:rPr>
          <w:rFonts w:ascii="Garamond" w:hAnsi="Garamond"/>
          <w:sz w:val="32"/>
        </w:rPr>
        <w:t xml:space="preserve">: </w:t>
      </w:r>
    </w:p>
    <w:p w:rsidR="00E42CA5" w:rsidRDefault="00994F47" w:rsidP="00E42CA5">
      <w:pPr>
        <w:jc w:val="center"/>
        <w:rPr>
          <w:rFonts w:ascii="Garamond" w:hAnsi="Garamond"/>
          <w:sz w:val="32"/>
        </w:rPr>
      </w:pPr>
      <w:r>
        <w:rPr>
          <w:rFonts w:ascii="Garamond" w:hAnsi="Garamond"/>
          <w:sz w:val="32"/>
        </w:rPr>
        <w:t>Empirical Study of Nigerian App-store</w:t>
      </w:r>
    </w:p>
    <w:p w:rsidR="00E42CA5" w:rsidRDefault="00E42CA5" w:rsidP="00E42CA5">
      <w:pPr>
        <w:jc w:val="center"/>
        <w:rPr>
          <w:rFonts w:ascii="Garamond" w:hAnsi="Garamond"/>
          <w:sz w:val="32"/>
        </w:rPr>
      </w:pPr>
    </w:p>
    <w:p w:rsidR="00E42CA5" w:rsidRDefault="00E42CA5" w:rsidP="00E42CA5">
      <w:pPr>
        <w:jc w:val="center"/>
        <w:rPr>
          <w:rFonts w:ascii="Garamond" w:hAnsi="Garamond"/>
          <w:sz w:val="32"/>
        </w:rPr>
      </w:pPr>
    </w:p>
    <w:p w:rsidR="00E42CA5" w:rsidRDefault="00E42CA5" w:rsidP="00E42CA5">
      <w:pPr>
        <w:jc w:val="center"/>
        <w:rPr>
          <w:rFonts w:ascii="Garamond" w:hAnsi="Garamond"/>
          <w:sz w:val="32"/>
        </w:rPr>
      </w:pPr>
      <w:r>
        <w:rPr>
          <w:rFonts w:ascii="Garamond" w:hAnsi="Garamond"/>
          <w:sz w:val="32"/>
        </w:rPr>
        <w:t>Author: Meisam Hejazi Nia</w:t>
      </w:r>
    </w:p>
    <w:p w:rsidR="00E42CA5" w:rsidRDefault="00E42CA5" w:rsidP="00E42CA5">
      <w:pPr>
        <w:jc w:val="center"/>
        <w:rPr>
          <w:rFonts w:ascii="Garamond" w:hAnsi="Garamond"/>
          <w:sz w:val="32"/>
        </w:rPr>
      </w:pPr>
      <w:r>
        <w:rPr>
          <w:rFonts w:ascii="Garamond" w:hAnsi="Garamond"/>
          <w:sz w:val="32"/>
        </w:rPr>
        <w:t>Supervisor: Dr. Norris Bruce</w:t>
      </w:r>
    </w:p>
    <w:p w:rsidR="00E42CA5" w:rsidRDefault="00E42CA5" w:rsidP="00E42CA5">
      <w:pPr>
        <w:jc w:val="center"/>
        <w:rPr>
          <w:rFonts w:ascii="Garamond" w:hAnsi="Garamond"/>
          <w:sz w:val="32"/>
        </w:rPr>
      </w:pPr>
    </w:p>
    <w:p w:rsidR="00E42CA5" w:rsidRDefault="00E42CA5" w:rsidP="00E42CA5">
      <w:pPr>
        <w:jc w:val="center"/>
        <w:rPr>
          <w:rFonts w:ascii="Garamond" w:hAnsi="Garamond"/>
          <w:sz w:val="32"/>
        </w:rPr>
      </w:pPr>
    </w:p>
    <w:p w:rsidR="00955119" w:rsidRDefault="00E42CA5" w:rsidP="00D736BC">
      <w:pPr>
        <w:jc w:val="center"/>
        <w:rPr>
          <w:rFonts w:ascii="Garamond" w:hAnsi="Garamond"/>
          <w:sz w:val="32"/>
        </w:rPr>
      </w:pPr>
      <w:r>
        <w:rPr>
          <w:rFonts w:ascii="Garamond" w:hAnsi="Garamond"/>
          <w:sz w:val="32"/>
        </w:rPr>
        <w:t>Date: 05/</w:t>
      </w:r>
      <w:r w:rsidR="00D736BC">
        <w:rPr>
          <w:rFonts w:ascii="Garamond" w:hAnsi="Garamond"/>
          <w:sz w:val="32"/>
        </w:rPr>
        <w:t>13</w:t>
      </w:r>
      <w:r>
        <w:rPr>
          <w:rFonts w:ascii="Garamond" w:hAnsi="Garamond"/>
          <w:sz w:val="32"/>
        </w:rPr>
        <w:t>/2014</w:t>
      </w:r>
    </w:p>
    <w:p w:rsidR="00955119" w:rsidRDefault="00955119">
      <w:pPr>
        <w:rPr>
          <w:rFonts w:ascii="Garamond" w:hAnsi="Garamond"/>
          <w:sz w:val="32"/>
        </w:rPr>
      </w:pPr>
      <w:r>
        <w:rPr>
          <w:rFonts w:ascii="Garamond" w:hAnsi="Garamond"/>
          <w:sz w:val="32"/>
        </w:rPr>
        <w:br w:type="page"/>
      </w:r>
    </w:p>
    <w:p w:rsidR="00E42CA5" w:rsidRDefault="00EA2C70" w:rsidP="002843F5">
      <w:pPr>
        <w:jc w:val="both"/>
        <w:rPr>
          <w:rFonts w:ascii="Garamond" w:hAnsi="Garamond"/>
          <w:sz w:val="32"/>
        </w:rPr>
      </w:pPr>
      <w:r>
        <w:rPr>
          <w:rFonts w:ascii="Garamond" w:hAnsi="Garamond"/>
          <w:b/>
          <w:sz w:val="32"/>
        </w:rPr>
        <w:lastRenderedPageBreak/>
        <w:t>Abstract</w:t>
      </w:r>
    </w:p>
    <w:p w:rsidR="00EA2C70" w:rsidRDefault="00E43608" w:rsidP="004C0CEC">
      <w:pPr>
        <w:jc w:val="both"/>
        <w:rPr>
          <w:rFonts w:ascii="Garamond" w:hAnsi="Garamond"/>
          <w:sz w:val="32"/>
        </w:rPr>
      </w:pPr>
      <w:r>
        <w:rPr>
          <w:rFonts w:ascii="Garamond" w:hAnsi="Garamond"/>
          <w:sz w:val="32"/>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In this market three types of agents operate: (1) platform owners (2) app developers and (3) consumers. </w:t>
      </w:r>
      <w:r w:rsidR="004C0CEC">
        <w:rPr>
          <w:rFonts w:ascii="Garamond" w:hAnsi="Garamond"/>
          <w:sz w:val="32"/>
        </w:rPr>
        <w:t>For the platform owner that seeks the diffusion of its platform, it is important to understand which app-category can drive the diffusion of its platform, and what app-categories are substitutes. In this study we develop a structural model that seeks to find the level of substitution and complementarity between different app-store app-categories. We test our model using 9 month unique panel data of consumer purchases. We use state space model and hierarchical Bayesian to model consumer’s choice. Our counterfactual analysis of the incentive of the firm for different product categories has managerial implication for app-store platform owners.</w:t>
      </w:r>
    </w:p>
    <w:p w:rsidR="009C0ED7" w:rsidRPr="003E20EA" w:rsidRDefault="003E20EA" w:rsidP="002843F5">
      <w:pPr>
        <w:jc w:val="both"/>
        <w:rPr>
          <w:rFonts w:ascii="Garamond" w:hAnsi="Garamond"/>
          <w:b/>
          <w:sz w:val="32"/>
        </w:rPr>
      </w:pPr>
      <w:r>
        <w:rPr>
          <w:rFonts w:ascii="Garamond" w:hAnsi="Garamond"/>
          <w:b/>
          <w:sz w:val="32"/>
        </w:rPr>
        <w:t>Model</w:t>
      </w:r>
    </w:p>
    <w:p w:rsidR="009C0ED7" w:rsidRDefault="004C0CEC" w:rsidP="004C0CEC">
      <w:pPr>
        <w:jc w:val="both"/>
        <w:rPr>
          <w:rFonts w:ascii="Garamond" w:hAnsi="Garamond"/>
          <w:sz w:val="32"/>
        </w:rPr>
      </w:pPr>
      <w:r>
        <w:rPr>
          <w:rFonts w:ascii="Garamond" w:hAnsi="Garamond"/>
          <w:sz w:val="32"/>
        </w:rPr>
        <w:t>In contrast to prior studies such as Carare (2011) do not account for consumers’ decision within the category, we start our model with product category. In this sense, we assume that each product category has a model of bass diffusion, or formally</w:t>
      </w:r>
    </w:p>
    <w:p w:rsidR="004610E4" w:rsidRDefault="00526165" w:rsidP="00182DD8">
      <w:pPr>
        <w:jc w:val="center"/>
        <w:rPr>
          <w:rFonts w:ascii="Garamond" w:hAnsi="Garamond"/>
          <w:sz w:val="32"/>
        </w:rPr>
      </w:pPr>
      <w:r w:rsidRPr="00A95365">
        <w:rPr>
          <w:rFonts w:ascii="Garamond" w:hAnsi="Garamond"/>
          <w:position w:val="-32"/>
          <w:sz w:val="32"/>
        </w:rPr>
        <w:object w:dxaOrig="66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0.75pt;height:36.75pt" o:ole="">
            <v:imagedata r:id="rId5" o:title=""/>
          </v:shape>
          <o:OLEObject Type="Embed" ProgID="Equation.3" ShapeID="_x0000_i1031" DrawAspect="Content" ObjectID="_1461475973" r:id="rId6"/>
        </w:object>
      </w:r>
    </w:p>
    <w:p w:rsidR="004C0CEC" w:rsidRDefault="004C0CEC" w:rsidP="000000A8">
      <w:pPr>
        <w:jc w:val="both"/>
        <w:rPr>
          <w:rFonts w:ascii="Garamond" w:hAnsi="Garamond"/>
          <w:sz w:val="32"/>
        </w:rPr>
      </w:pPr>
      <w:r>
        <w:rPr>
          <w:rFonts w:ascii="Garamond" w:hAnsi="Garamond"/>
          <w:sz w:val="32"/>
        </w:rPr>
        <w:t xml:space="preserve">where </w:t>
      </w:r>
      <w:r w:rsidRPr="00156398">
        <w:rPr>
          <w:position w:val="-14"/>
        </w:rPr>
        <w:object w:dxaOrig="300" w:dyaOrig="380">
          <v:shape id="_x0000_i1025" type="#_x0000_t75" style="width:15pt;height:18.75pt" o:ole="">
            <v:imagedata r:id="rId7" o:title=""/>
          </v:shape>
          <o:OLEObject Type="Embed" ProgID="Equation.3" ShapeID="_x0000_i1025" DrawAspect="Content" ObjectID="_1461475974" r:id="rId8"/>
        </w:object>
      </w:r>
      <w:r w:rsidR="00A95365">
        <w:rPr>
          <w:rFonts w:ascii="Garamond" w:hAnsi="Garamond"/>
          <w:sz w:val="32"/>
        </w:rPr>
        <w:t>denotes</w:t>
      </w:r>
      <w:r w:rsidR="00A95365" w:rsidRPr="00A95365">
        <w:rPr>
          <w:rFonts w:ascii="Garamond" w:hAnsi="Garamond"/>
          <w:sz w:val="32"/>
        </w:rPr>
        <w:t xml:space="preserve"> the</w:t>
      </w:r>
      <w:r w:rsidR="00526165">
        <w:rPr>
          <w:rFonts w:ascii="Garamond" w:hAnsi="Garamond"/>
          <w:sz w:val="32"/>
        </w:rPr>
        <w:t xml:space="preserve"> cumulative</w:t>
      </w:r>
      <w:r w:rsidR="00A95365" w:rsidRPr="00A95365">
        <w:rPr>
          <w:rFonts w:ascii="Garamond" w:hAnsi="Garamond"/>
          <w:sz w:val="32"/>
        </w:rPr>
        <w:t xml:space="preserve"> number of users </w:t>
      </w:r>
      <w:r w:rsidR="00A95365">
        <w:rPr>
          <w:rFonts w:ascii="Garamond" w:hAnsi="Garamond"/>
          <w:sz w:val="32"/>
        </w:rPr>
        <w:t xml:space="preserve">of each product category j at day t on the platform, </w:t>
      </w:r>
      <w:r w:rsidR="00A95365" w:rsidRPr="00A95365">
        <w:rPr>
          <w:position w:val="-14"/>
        </w:rPr>
        <w:object w:dxaOrig="320" w:dyaOrig="380">
          <v:shape id="_x0000_i1026" type="#_x0000_t75" style="width:15.75pt;height:18.75pt" o:ole="">
            <v:imagedata r:id="rId9" o:title=""/>
          </v:shape>
          <o:OLEObject Type="Embed" ProgID="Equation.3" ShapeID="_x0000_i1026" DrawAspect="Content" ObjectID="_1461475975" r:id="rId10"/>
        </w:object>
      </w:r>
      <w:r w:rsidR="00A95365">
        <w:t xml:space="preserve"> </w:t>
      </w:r>
      <w:r w:rsidR="00A95365" w:rsidRPr="00A95365">
        <w:rPr>
          <w:rFonts w:ascii="Garamond" w:hAnsi="Garamond"/>
          <w:sz w:val="32"/>
        </w:rPr>
        <w:t xml:space="preserve">market size of the </w:t>
      </w:r>
      <w:r w:rsidR="00A95365">
        <w:rPr>
          <w:rFonts w:ascii="Garamond" w:hAnsi="Garamond"/>
          <w:sz w:val="32"/>
        </w:rPr>
        <w:t xml:space="preserve">category j, and </w:t>
      </w:r>
      <w:r w:rsidR="00A95365" w:rsidRPr="00A95365">
        <w:rPr>
          <w:rFonts w:ascii="Garamond" w:hAnsi="Garamond"/>
          <w:sz w:val="32"/>
        </w:rPr>
        <w:object w:dxaOrig="320" w:dyaOrig="360">
          <v:shape id="_x0000_i1027" type="#_x0000_t75" style="width:15.75pt;height:18pt" o:ole="">
            <v:imagedata r:id="rId11" o:title=""/>
          </v:shape>
          <o:OLEObject Type="Embed" ProgID="Equation.3" ShapeID="_x0000_i1027" DrawAspect="Content" ObjectID="_1461475976" r:id="rId12"/>
        </w:object>
      </w:r>
      <w:r w:rsidR="00A95365" w:rsidRPr="00A95365">
        <w:rPr>
          <w:rFonts w:ascii="Garamond" w:hAnsi="Garamond"/>
          <w:sz w:val="32"/>
        </w:rPr>
        <w:t>error term of diffusion.</w:t>
      </w:r>
      <w:r w:rsidR="00A95365">
        <w:rPr>
          <w:rFonts w:ascii="Garamond" w:hAnsi="Garamond"/>
          <w:sz w:val="32"/>
        </w:rPr>
        <w:t xml:space="preserve"> Our incorporation of the sum of number of users of different product categories (sigma term), allows us to account for </w:t>
      </w:r>
      <w:r w:rsidR="00A95365">
        <w:rPr>
          <w:rFonts w:ascii="Garamond" w:hAnsi="Garamond"/>
          <w:sz w:val="32"/>
        </w:rPr>
        <w:lastRenderedPageBreak/>
        <w:t xml:space="preserve">complementarity and substitution of different product categories. </w:t>
      </w:r>
      <w:r w:rsidR="00686FEA">
        <w:rPr>
          <w:rFonts w:ascii="Garamond" w:hAnsi="Garamond"/>
          <w:sz w:val="32"/>
        </w:rPr>
        <w:t xml:space="preserve">Finally </w:t>
      </w:r>
      <w:r w:rsidR="00686FEA" w:rsidRPr="00156398">
        <w:rPr>
          <w:position w:val="-10"/>
        </w:rPr>
        <w:object w:dxaOrig="240" w:dyaOrig="260">
          <v:shape id="_x0000_i1028" type="#_x0000_t75" style="width:12pt;height:12.75pt" o:ole="">
            <v:imagedata r:id="rId13" o:title=""/>
          </v:shape>
          <o:OLEObject Type="Embed" ProgID="Equation.3" ShapeID="_x0000_i1028" DrawAspect="Content" ObjectID="_1461475977" r:id="rId14"/>
        </w:object>
      </w:r>
      <w:r w:rsidR="00686FEA">
        <w:t xml:space="preserve"> </w:t>
      </w:r>
      <w:r w:rsidR="00686FEA" w:rsidRPr="00686FEA">
        <w:rPr>
          <w:rFonts w:ascii="Garamond" w:hAnsi="Garamond"/>
          <w:sz w:val="32"/>
        </w:rPr>
        <w:t>and</w:t>
      </w:r>
      <w:r w:rsidR="00686FEA">
        <w:t xml:space="preserve"> </w:t>
      </w:r>
      <w:r w:rsidR="00CD61B4" w:rsidRPr="00156398">
        <w:rPr>
          <w:position w:val="-10"/>
        </w:rPr>
        <w:object w:dxaOrig="200" w:dyaOrig="260">
          <v:shape id="_x0000_i1029" type="#_x0000_t75" style="width:9.75pt;height:12.75pt" o:ole="">
            <v:imagedata r:id="rId15" o:title=""/>
          </v:shape>
          <o:OLEObject Type="Embed" ProgID="Equation.3" ShapeID="_x0000_i1029" DrawAspect="Content" ObjectID="_1461475978" r:id="rId16"/>
        </w:object>
      </w:r>
      <w:r w:rsidR="00AB28AE" w:rsidRPr="006F0857">
        <w:rPr>
          <w:rFonts w:ascii="Garamond" w:hAnsi="Garamond"/>
          <w:sz w:val="32"/>
        </w:rPr>
        <w:t xml:space="preserve">are external and internal market forces in </w:t>
      </w:r>
      <w:r w:rsidR="000000A8">
        <w:rPr>
          <w:rFonts w:ascii="Garamond" w:hAnsi="Garamond"/>
          <w:sz w:val="32"/>
        </w:rPr>
        <w:t>B</w:t>
      </w:r>
      <w:r w:rsidR="00AB28AE" w:rsidRPr="006F0857">
        <w:rPr>
          <w:rFonts w:ascii="Garamond" w:hAnsi="Garamond"/>
          <w:sz w:val="32"/>
        </w:rPr>
        <w:t>ass diffusion model.</w:t>
      </w:r>
      <w:r w:rsidR="00CD61B4">
        <w:rPr>
          <w:rFonts w:ascii="Garamond" w:hAnsi="Garamond"/>
          <w:sz w:val="32"/>
        </w:rPr>
        <w:t xml:space="preserve"> </w:t>
      </w:r>
      <w:r w:rsidR="00E35CD9">
        <w:rPr>
          <w:rFonts w:ascii="Garamond" w:hAnsi="Garamond"/>
          <w:sz w:val="32"/>
        </w:rPr>
        <w:t xml:space="preserve">Needless to say we account for heterogeneity in these parameters, and we later explain this heterogeneity in terms of characteristics of each mobile-app category (i.e. type of service, and demographic of users). </w:t>
      </w:r>
    </w:p>
    <w:p w:rsidR="00CD61B4" w:rsidRDefault="00CD61B4" w:rsidP="00A95365">
      <w:pPr>
        <w:jc w:val="both"/>
        <w:rPr>
          <w:rFonts w:ascii="Garamond" w:hAnsi="Garamond"/>
          <w:sz w:val="32"/>
        </w:rPr>
      </w:pPr>
      <w:r>
        <w:rPr>
          <w:rFonts w:ascii="Garamond" w:hAnsi="Garamond"/>
          <w:sz w:val="32"/>
        </w:rPr>
        <w:t>The second portion of our model accounts for evolution of preference for each mobile app. To model this evolution of preference for the app, we use the following Bass structure as well:</w:t>
      </w:r>
    </w:p>
    <w:p w:rsidR="00CD61B4" w:rsidRDefault="00FB4579" w:rsidP="00526165">
      <w:pPr>
        <w:jc w:val="center"/>
        <w:rPr>
          <w:rFonts w:ascii="Garamond" w:hAnsi="Garamond"/>
          <w:sz w:val="32"/>
        </w:rPr>
      </w:pPr>
      <w:r w:rsidRPr="00A95365">
        <w:rPr>
          <w:rFonts w:ascii="Garamond" w:hAnsi="Garamond"/>
          <w:position w:val="-32"/>
          <w:sz w:val="32"/>
        </w:rPr>
        <w:object w:dxaOrig="5780" w:dyaOrig="720">
          <v:shape id="_x0000_i1035" type="#_x0000_t75" style="width:288.75pt;height:35.25pt" o:ole="">
            <v:imagedata r:id="rId17" o:title=""/>
          </v:shape>
          <o:OLEObject Type="Embed" ProgID="Equation.3" ShapeID="_x0000_i1035" DrawAspect="Content" ObjectID="_1461475979" r:id="rId18"/>
        </w:object>
      </w:r>
    </w:p>
    <w:p w:rsidR="004C0CEC" w:rsidRDefault="00526165" w:rsidP="000000A8">
      <w:pPr>
        <w:jc w:val="both"/>
        <w:rPr>
          <w:rFonts w:ascii="Garamond" w:hAnsi="Garamond"/>
          <w:sz w:val="32"/>
        </w:rPr>
      </w:pPr>
      <w:r>
        <w:rPr>
          <w:rFonts w:ascii="Garamond" w:hAnsi="Garamond"/>
          <w:sz w:val="32"/>
        </w:rPr>
        <w:t xml:space="preserve">where </w:t>
      </w:r>
      <w:r w:rsidRPr="00526165">
        <w:rPr>
          <w:rFonts w:ascii="Garamond" w:hAnsi="Garamond"/>
          <w:sz w:val="32"/>
        </w:rPr>
        <w:object w:dxaOrig="360" w:dyaOrig="360">
          <v:shape id="_x0000_i1030" type="#_x0000_t75" style="width:18pt;height:18pt" o:ole="">
            <v:imagedata r:id="rId19" o:title=""/>
          </v:shape>
          <o:OLEObject Type="Embed" ProgID="Equation.3" ShapeID="_x0000_i1030" DrawAspect="Content" ObjectID="_1461475980" r:id="rId20"/>
        </w:object>
      </w:r>
      <w:r w:rsidRPr="00526165">
        <w:rPr>
          <w:rFonts w:ascii="Garamond" w:hAnsi="Garamond"/>
          <w:sz w:val="32"/>
        </w:rPr>
        <w:t xml:space="preserve"> denote the cumulative number of mobile app a users at day t, and</w:t>
      </w:r>
      <w:r>
        <w:t xml:space="preserve"> </w:t>
      </w:r>
      <w:r w:rsidRPr="00156398">
        <w:rPr>
          <w:position w:val="-14"/>
        </w:rPr>
        <w:object w:dxaOrig="540" w:dyaOrig="380">
          <v:shape id="_x0000_i1032" type="#_x0000_t75" style="width:27pt;height:18.75pt" o:ole="">
            <v:imagedata r:id="rId21" o:title=""/>
          </v:shape>
          <o:OLEObject Type="Embed" ProgID="Equation.3" ShapeID="_x0000_i1032" DrawAspect="Content" ObjectID="_1461475981" r:id="rId22"/>
        </w:object>
      </w:r>
      <w:r w:rsidR="000000A8" w:rsidRPr="000000A8">
        <w:rPr>
          <w:rFonts w:ascii="Garamond" w:hAnsi="Garamond"/>
          <w:sz w:val="32"/>
        </w:rPr>
        <w:t xml:space="preserve">denotes </w:t>
      </w:r>
      <w:r w:rsidR="000000A8">
        <w:rPr>
          <w:rFonts w:ascii="Garamond" w:hAnsi="Garamond"/>
          <w:sz w:val="32"/>
        </w:rPr>
        <w:t xml:space="preserve">the market size of mobile app-a in category j, which is proportional to the market size of the category. </w:t>
      </w:r>
      <w:r w:rsidR="000000A8" w:rsidRPr="00156398">
        <w:rPr>
          <w:position w:val="-10"/>
        </w:rPr>
        <w:object w:dxaOrig="240" w:dyaOrig="260">
          <v:shape id="_x0000_i1033" type="#_x0000_t75" style="width:12pt;height:12.75pt" o:ole="">
            <v:imagedata r:id="rId13" o:title=""/>
          </v:shape>
          <o:OLEObject Type="Embed" ProgID="Equation.3" ShapeID="_x0000_i1033" DrawAspect="Content" ObjectID="_1461475982" r:id="rId23"/>
        </w:object>
      </w:r>
      <w:r w:rsidR="000000A8">
        <w:t xml:space="preserve"> </w:t>
      </w:r>
      <w:r w:rsidR="000000A8" w:rsidRPr="00686FEA">
        <w:rPr>
          <w:rFonts w:ascii="Garamond" w:hAnsi="Garamond"/>
          <w:sz w:val="32"/>
        </w:rPr>
        <w:t>and</w:t>
      </w:r>
      <w:r w:rsidR="000000A8">
        <w:t xml:space="preserve"> </w:t>
      </w:r>
      <w:r w:rsidR="000000A8" w:rsidRPr="00156398">
        <w:rPr>
          <w:position w:val="-10"/>
        </w:rPr>
        <w:object w:dxaOrig="200" w:dyaOrig="260">
          <v:shape id="_x0000_i1034" type="#_x0000_t75" style="width:9.75pt;height:12.75pt" o:ole="">
            <v:imagedata r:id="rId15" o:title=""/>
          </v:shape>
          <o:OLEObject Type="Embed" ProgID="Equation.3" ShapeID="_x0000_i1034" DrawAspect="Content" ObjectID="_1461475983" r:id="rId24"/>
        </w:object>
      </w:r>
      <w:r w:rsidR="000000A8" w:rsidRPr="006F0857">
        <w:rPr>
          <w:rFonts w:ascii="Garamond" w:hAnsi="Garamond"/>
          <w:sz w:val="32"/>
        </w:rPr>
        <w:t xml:space="preserve">are external and internal market forces in </w:t>
      </w:r>
      <w:r w:rsidR="000000A8">
        <w:rPr>
          <w:rFonts w:ascii="Garamond" w:hAnsi="Garamond"/>
          <w:sz w:val="32"/>
        </w:rPr>
        <w:t>B</w:t>
      </w:r>
      <w:r w:rsidR="000000A8" w:rsidRPr="006F0857">
        <w:rPr>
          <w:rFonts w:ascii="Garamond" w:hAnsi="Garamond"/>
          <w:sz w:val="32"/>
        </w:rPr>
        <w:t>ass diffusion model.</w:t>
      </w:r>
      <w:r w:rsidR="00DF1BBA">
        <w:rPr>
          <w:rFonts w:ascii="Garamond" w:hAnsi="Garamond"/>
          <w:sz w:val="32"/>
        </w:rPr>
        <w:t xml:space="preserve"> Needless to say allow for heterogeneity in these parameters, and further on we explain this heterogeneity in terms of observed characteristics </w:t>
      </w:r>
      <w:r w:rsidR="00A24451">
        <w:rPr>
          <w:rFonts w:ascii="Garamond" w:hAnsi="Garamond"/>
          <w:sz w:val="32"/>
        </w:rPr>
        <w:t>o</w:t>
      </w:r>
      <w:r w:rsidR="00DF1BBA">
        <w:rPr>
          <w:rFonts w:ascii="Garamond" w:hAnsi="Garamond"/>
          <w:sz w:val="32"/>
        </w:rPr>
        <w:t xml:space="preserve">f mobile app (i.e. file size as a signal of quality and sophistication of the mobile app). </w:t>
      </w:r>
    </w:p>
    <w:p w:rsidR="000000A8" w:rsidRDefault="006D0508" w:rsidP="00D47F1E">
      <w:pPr>
        <w:jc w:val="both"/>
        <w:rPr>
          <w:rFonts w:ascii="Garamond" w:hAnsi="Garamond"/>
          <w:sz w:val="32"/>
        </w:rPr>
      </w:pPr>
      <w:r>
        <w:rPr>
          <w:rFonts w:ascii="Garamond" w:hAnsi="Garamond"/>
          <w:sz w:val="32"/>
        </w:rPr>
        <w:t>Consumer search apps in the product category, and based on their utility they decide whether to purchase and which app to purchase given they have decided to purchase, therefore, we define consumer</w:t>
      </w:r>
      <w:r w:rsidR="00D47F1E">
        <w:rPr>
          <w:rFonts w:ascii="Garamond" w:hAnsi="Garamond"/>
          <w:sz w:val="32"/>
        </w:rPr>
        <w:t xml:space="preserve"> i</w:t>
      </w:r>
      <w:r>
        <w:rPr>
          <w:rFonts w:ascii="Garamond" w:hAnsi="Garamond"/>
          <w:sz w:val="32"/>
        </w:rPr>
        <w:t xml:space="preserve">’s utility from purchasing mobile app </w:t>
      </w:r>
      <w:r w:rsidR="00D47F1E">
        <w:rPr>
          <w:rFonts w:ascii="Garamond" w:hAnsi="Garamond"/>
          <w:sz w:val="32"/>
        </w:rPr>
        <w:t>a</w:t>
      </w:r>
      <w:r>
        <w:rPr>
          <w:rFonts w:ascii="Garamond" w:hAnsi="Garamond"/>
          <w:sz w:val="32"/>
        </w:rPr>
        <w:t>, according formally as:</w:t>
      </w:r>
    </w:p>
    <w:p w:rsidR="006D0508" w:rsidRDefault="000E3DDC" w:rsidP="00D47F1E">
      <w:pPr>
        <w:jc w:val="center"/>
        <w:rPr>
          <w:rFonts w:ascii="Garamond" w:hAnsi="Garamond"/>
          <w:sz w:val="32"/>
        </w:rPr>
      </w:pPr>
      <w:r w:rsidRPr="00FB4579">
        <w:rPr>
          <w:rFonts w:ascii="Garamond" w:hAnsi="Garamond"/>
          <w:position w:val="-24"/>
          <w:sz w:val="32"/>
        </w:rPr>
        <w:object w:dxaOrig="7360" w:dyaOrig="660">
          <v:shape id="_x0000_i1043" type="#_x0000_t75" style="width:368.25pt;height:32.25pt" o:ole="">
            <v:imagedata r:id="rId25" o:title=""/>
          </v:shape>
          <o:OLEObject Type="Embed" ProgID="Equation.3" ShapeID="_x0000_i1043" DrawAspect="Content" ObjectID="_1461475984" r:id="rId26"/>
        </w:object>
      </w:r>
    </w:p>
    <w:p w:rsidR="000E3DDC" w:rsidRDefault="00FB4579" w:rsidP="00FB4579">
      <w:pPr>
        <w:jc w:val="both"/>
        <w:rPr>
          <w:rFonts w:ascii="Garamond" w:hAnsi="Garamond"/>
          <w:sz w:val="32"/>
        </w:rPr>
      </w:pPr>
      <w:r>
        <w:rPr>
          <w:rFonts w:ascii="Garamond" w:hAnsi="Garamond"/>
          <w:sz w:val="32"/>
        </w:rPr>
        <w:t xml:space="preserve">where </w:t>
      </w:r>
      <w:r w:rsidRPr="00FB4579">
        <w:rPr>
          <w:rFonts w:ascii="Garamond" w:hAnsi="Garamond"/>
          <w:sz w:val="32"/>
        </w:rPr>
        <w:object w:dxaOrig="360" w:dyaOrig="360">
          <v:shape id="_x0000_i1036" type="#_x0000_t75" style="width:18pt;height:18pt" o:ole="">
            <v:imagedata r:id="rId27" o:title=""/>
          </v:shape>
          <o:OLEObject Type="Embed" ProgID="Equation.3" ShapeID="_x0000_i1036" DrawAspect="Content" ObjectID="_1461475985" r:id="rId28"/>
        </w:object>
      </w:r>
      <w:r w:rsidRPr="00FB4579">
        <w:rPr>
          <w:rFonts w:ascii="Garamond" w:hAnsi="Garamond"/>
          <w:sz w:val="32"/>
        </w:rPr>
        <w:t xml:space="preserve"> denotes price of mobile app a at time t, </w:t>
      </w:r>
      <w:r w:rsidRPr="00FB4579">
        <w:rPr>
          <w:rFonts w:ascii="Garamond" w:hAnsi="Garamond"/>
          <w:sz w:val="32"/>
        </w:rPr>
        <w:object w:dxaOrig="340" w:dyaOrig="360">
          <v:shape id="_x0000_i1037" type="#_x0000_t75" style="width:17.25pt;height:18pt" o:ole="">
            <v:imagedata r:id="rId29" o:title=""/>
          </v:shape>
          <o:OLEObject Type="Embed" ProgID="Equation.3" ShapeID="_x0000_i1037" DrawAspect="Content" ObjectID="_1461475986" r:id="rId30"/>
        </w:object>
      </w:r>
      <w:r w:rsidRPr="00FB4579">
        <w:rPr>
          <w:rFonts w:ascii="Garamond" w:hAnsi="Garamond"/>
          <w:sz w:val="32"/>
        </w:rPr>
        <w:t xml:space="preserve"> whether the app is featured, </w:t>
      </w:r>
      <w:r w:rsidRPr="00FB4579">
        <w:rPr>
          <w:rFonts w:ascii="Garamond" w:hAnsi="Garamond"/>
          <w:sz w:val="32"/>
        </w:rPr>
        <w:object w:dxaOrig="300" w:dyaOrig="360">
          <v:shape id="_x0000_i1038" type="#_x0000_t75" style="width:15pt;height:18pt" o:ole="">
            <v:imagedata r:id="rId31" o:title=""/>
          </v:shape>
          <o:OLEObject Type="Embed" ProgID="Equation.3" ShapeID="_x0000_i1038" DrawAspect="Content" ObjectID="_1461475987" r:id="rId32"/>
        </w:object>
      </w:r>
      <w:r w:rsidRPr="00FB4579">
        <w:rPr>
          <w:rFonts w:ascii="Garamond" w:hAnsi="Garamond"/>
          <w:sz w:val="32"/>
        </w:rPr>
        <w:t xml:space="preserve">the tenure of the app (number of days from creation), and </w:t>
      </w:r>
      <w:r w:rsidRPr="00FB4579">
        <w:rPr>
          <w:rFonts w:ascii="Garamond" w:hAnsi="Garamond"/>
          <w:sz w:val="32"/>
        </w:rPr>
        <w:object w:dxaOrig="320" w:dyaOrig="360">
          <v:shape id="_x0000_i1039" type="#_x0000_t75" style="width:15.75pt;height:18pt" o:ole="">
            <v:imagedata r:id="rId33" o:title=""/>
          </v:shape>
          <o:OLEObject Type="Embed" ProgID="Equation.3" ShapeID="_x0000_i1039" DrawAspect="Content" ObjectID="_1461475988" r:id="rId34"/>
        </w:object>
      </w:r>
      <w:r w:rsidRPr="00FB4579">
        <w:rPr>
          <w:rFonts w:ascii="Garamond" w:hAnsi="Garamond"/>
          <w:sz w:val="32"/>
        </w:rPr>
        <w:t xml:space="preserve"> unobserved demand shock (market time dummy). </w:t>
      </w:r>
      <w:r w:rsidR="000E3DDC">
        <w:rPr>
          <w:rFonts w:ascii="Garamond" w:hAnsi="Garamond"/>
          <w:sz w:val="32"/>
        </w:rPr>
        <w:t xml:space="preserve">Finally, </w:t>
      </w:r>
      <w:r w:rsidR="000E3DDC" w:rsidRPr="000E3DDC">
        <w:rPr>
          <w:rFonts w:ascii="Garamond" w:hAnsi="Garamond"/>
          <w:sz w:val="32"/>
        </w:rPr>
        <w:object w:dxaOrig="260" w:dyaOrig="360">
          <v:shape id="_x0000_i1040" type="#_x0000_t75" style="width:12.75pt;height:18pt" o:ole="">
            <v:imagedata r:id="rId35" o:title=""/>
          </v:shape>
          <o:OLEObject Type="Embed" ProgID="Equation.3" ShapeID="_x0000_i1040" DrawAspect="Content" ObjectID="_1461475989" r:id="rId36"/>
        </w:object>
      </w:r>
      <w:r w:rsidR="000E3DDC" w:rsidRPr="000E3DDC">
        <w:rPr>
          <w:rFonts w:ascii="Garamond" w:hAnsi="Garamond"/>
          <w:sz w:val="32"/>
        </w:rPr>
        <w:t xml:space="preserve">, </w:t>
      </w:r>
      <w:r w:rsidR="000E3DDC" w:rsidRPr="000E3DDC">
        <w:rPr>
          <w:rFonts w:ascii="Garamond" w:hAnsi="Garamond"/>
          <w:sz w:val="32"/>
        </w:rPr>
        <w:object w:dxaOrig="279" w:dyaOrig="360">
          <v:shape id="_x0000_i1041" type="#_x0000_t75" style="width:14.25pt;height:18pt" o:ole="">
            <v:imagedata r:id="rId37" o:title=""/>
          </v:shape>
          <o:OLEObject Type="Embed" ProgID="Equation.3" ShapeID="_x0000_i1041" DrawAspect="Content" ObjectID="_1461475990" r:id="rId38"/>
        </w:object>
      </w:r>
      <w:r w:rsidR="000E3DDC" w:rsidRPr="000E3DDC">
        <w:rPr>
          <w:rFonts w:ascii="Garamond" w:hAnsi="Garamond"/>
          <w:sz w:val="32"/>
        </w:rPr>
        <w:t xml:space="preserve">, </w:t>
      </w:r>
      <w:r w:rsidR="000E3DDC" w:rsidRPr="000E3DDC">
        <w:rPr>
          <w:rFonts w:ascii="Garamond" w:hAnsi="Garamond"/>
          <w:sz w:val="32"/>
        </w:rPr>
        <w:object w:dxaOrig="240" w:dyaOrig="360">
          <v:shape id="_x0000_i1042" type="#_x0000_t75" style="width:12pt;height:18pt" o:ole="">
            <v:imagedata r:id="rId39" o:title=""/>
          </v:shape>
          <o:OLEObject Type="Embed" ProgID="Equation.3" ShapeID="_x0000_i1042" DrawAspect="Content" ObjectID="_1461475991" r:id="rId40"/>
        </w:object>
      </w:r>
      <w:r w:rsidR="000E3DDC" w:rsidRPr="000E3DDC">
        <w:rPr>
          <w:rFonts w:ascii="Garamond" w:hAnsi="Garamond"/>
          <w:sz w:val="32"/>
        </w:rPr>
        <w:t xml:space="preserve">, and </w:t>
      </w:r>
      <w:r w:rsidR="000E3DDC" w:rsidRPr="000E3DDC">
        <w:rPr>
          <w:rFonts w:ascii="Garamond" w:hAnsi="Garamond"/>
          <w:sz w:val="32"/>
        </w:rPr>
        <w:object w:dxaOrig="320" w:dyaOrig="380">
          <v:shape id="_x0000_i1044" type="#_x0000_t75" style="width:15.75pt;height:18.75pt" o:ole="">
            <v:imagedata r:id="rId41" o:title=""/>
          </v:shape>
          <o:OLEObject Type="Embed" ProgID="Equation.3" ShapeID="_x0000_i1044" DrawAspect="Content" ObjectID="_1461475992" r:id="rId42"/>
        </w:object>
      </w:r>
      <w:r w:rsidR="000E3DDC" w:rsidRPr="000E3DDC">
        <w:rPr>
          <w:rFonts w:ascii="Garamond" w:hAnsi="Garamond"/>
          <w:sz w:val="32"/>
        </w:rPr>
        <w:t xml:space="preserve"> are the parameters to estimate. We allowed heterogeneity in this </w:t>
      </w:r>
      <w:r w:rsidR="000E3DDC" w:rsidRPr="000E3DDC">
        <w:rPr>
          <w:rFonts w:ascii="Garamond" w:hAnsi="Garamond"/>
          <w:sz w:val="32"/>
        </w:rPr>
        <w:lastRenderedPageBreak/>
        <w:t xml:space="preserve">parameters, and we later on explain this based on individual characteristics, such as download counts and tenure, and region (IP) of the downloader. </w:t>
      </w:r>
    </w:p>
    <w:p w:rsidR="000000A8" w:rsidRDefault="000E3DDC" w:rsidP="00FB4579">
      <w:pPr>
        <w:jc w:val="both"/>
        <w:rPr>
          <w:rFonts w:ascii="Garamond" w:hAnsi="Garamond"/>
          <w:sz w:val="32"/>
        </w:rPr>
      </w:pPr>
      <w:r>
        <w:rPr>
          <w:rFonts w:ascii="Garamond" w:hAnsi="Garamond"/>
          <w:sz w:val="32"/>
        </w:rPr>
        <w:t xml:space="preserve">The logit form of the error term of the utility, allows us to define purchase probability of consumer </w:t>
      </w:r>
      <w:r w:rsidR="007D4A0A">
        <w:rPr>
          <w:rFonts w:ascii="Garamond" w:hAnsi="Garamond"/>
          <w:sz w:val="32"/>
        </w:rPr>
        <w:t>in the following form:</w:t>
      </w:r>
    </w:p>
    <w:p w:rsidR="007D4A0A" w:rsidRDefault="00CE215F" w:rsidP="000C67CD">
      <w:pPr>
        <w:jc w:val="center"/>
        <w:rPr>
          <w:rFonts w:ascii="Garamond" w:hAnsi="Garamond"/>
          <w:sz w:val="32"/>
        </w:rPr>
      </w:pPr>
      <w:r w:rsidRPr="000C67CD">
        <w:rPr>
          <w:rFonts w:ascii="Garamond" w:hAnsi="Garamond"/>
          <w:position w:val="-64"/>
          <w:sz w:val="32"/>
        </w:rPr>
        <w:object w:dxaOrig="1579" w:dyaOrig="1040">
          <v:shape id="_x0000_i1045" type="#_x0000_t75" style="width:78.75pt;height:51.75pt" o:ole="">
            <v:imagedata r:id="rId43" o:title=""/>
          </v:shape>
          <o:OLEObject Type="Embed" ProgID="Equation.3" ShapeID="_x0000_i1045" DrawAspect="Content" ObjectID="_1461475993" r:id="rId44"/>
        </w:object>
      </w:r>
    </w:p>
    <w:p w:rsidR="00FB4579" w:rsidRDefault="000C67CD" w:rsidP="00526165">
      <w:pPr>
        <w:jc w:val="both"/>
        <w:rPr>
          <w:rFonts w:ascii="Garamond" w:hAnsi="Garamond"/>
          <w:sz w:val="32"/>
        </w:rPr>
      </w:pPr>
      <w:r>
        <w:rPr>
          <w:rFonts w:ascii="Garamond" w:hAnsi="Garamond"/>
          <w:sz w:val="32"/>
        </w:rPr>
        <w:t xml:space="preserve">where </w:t>
      </w:r>
      <w:r w:rsidR="00CE215F" w:rsidRPr="000C67CD">
        <w:rPr>
          <w:rFonts w:ascii="Garamond" w:hAnsi="Garamond"/>
          <w:position w:val="-14"/>
          <w:sz w:val="32"/>
        </w:rPr>
        <w:object w:dxaOrig="260" w:dyaOrig="380">
          <v:shape id="_x0000_i1046" type="#_x0000_t75" style="width:15.75pt;height:23.25pt" o:ole="">
            <v:imagedata r:id="rId45" o:title=""/>
          </v:shape>
          <o:OLEObject Type="Embed" ProgID="Equation.3" ShapeID="_x0000_i1046" DrawAspect="Content" ObjectID="_1461475994" r:id="rId46"/>
        </w:object>
      </w:r>
      <w:r w:rsidRPr="000C67CD">
        <w:rPr>
          <w:rFonts w:ascii="Garamond" w:hAnsi="Garamond"/>
          <w:sz w:val="32"/>
        </w:rPr>
        <w:t xml:space="preserve"> is the number of mobile apps in category j.</w:t>
      </w:r>
    </w:p>
    <w:p w:rsidR="00FB4579" w:rsidRDefault="00FB4579" w:rsidP="00526165">
      <w:pPr>
        <w:jc w:val="both"/>
        <w:rPr>
          <w:rFonts w:ascii="Garamond" w:hAnsi="Garamond"/>
          <w:sz w:val="32"/>
        </w:rPr>
      </w:pPr>
    </w:p>
    <w:p w:rsidR="00DE0510" w:rsidRPr="00B94D60" w:rsidRDefault="00C17ACD" w:rsidP="00F959DF">
      <w:pPr>
        <w:jc w:val="both"/>
        <w:rPr>
          <w:rFonts w:ascii="Garamond" w:hAnsi="Garamond"/>
          <w:sz w:val="32"/>
        </w:rPr>
      </w:pPr>
      <w:r>
        <w:rPr>
          <w:rFonts w:ascii="Garamond" w:hAnsi="Garamond"/>
          <w:sz w:val="32"/>
        </w:rPr>
        <w:t xml:space="preserve">This closes our model specification. </w:t>
      </w:r>
    </w:p>
    <w:p w:rsidR="00F959DF" w:rsidRDefault="004F06F4" w:rsidP="00F959DF">
      <w:pPr>
        <w:jc w:val="both"/>
        <w:rPr>
          <w:rFonts w:ascii="Garamond" w:hAnsi="Garamond"/>
          <w:b/>
          <w:sz w:val="32"/>
        </w:rPr>
      </w:pPr>
      <w:r>
        <w:rPr>
          <w:rFonts w:ascii="Garamond" w:hAnsi="Garamond"/>
          <w:b/>
          <w:sz w:val="32"/>
        </w:rPr>
        <w:t>Extension</w:t>
      </w:r>
    </w:p>
    <w:p w:rsidR="00F959DF" w:rsidRPr="00CE7846" w:rsidRDefault="00CE215F" w:rsidP="002843F5">
      <w:pPr>
        <w:jc w:val="both"/>
        <w:rPr>
          <w:rFonts w:ascii="Garamond" w:hAnsi="Garamond"/>
          <w:b/>
          <w:sz w:val="32"/>
        </w:rPr>
      </w:pPr>
      <w:r>
        <w:rPr>
          <w:rFonts w:ascii="Garamond" w:hAnsi="Garamond"/>
          <w:sz w:val="32"/>
        </w:rPr>
        <w:t xml:space="preserve">We later on can add the supply side to the model to account for app-developer/publisher’s decision to select the product category to develop mobile app. </w:t>
      </w:r>
    </w:p>
    <w:p w:rsidR="00104352" w:rsidRDefault="00104352" w:rsidP="002843F5">
      <w:pPr>
        <w:jc w:val="both"/>
        <w:rPr>
          <w:rFonts w:ascii="Garamond" w:hAnsi="Garamond"/>
          <w:b/>
          <w:sz w:val="32"/>
        </w:rPr>
      </w:pPr>
      <w:r>
        <w:rPr>
          <w:rFonts w:ascii="Garamond" w:hAnsi="Garamond"/>
          <w:b/>
          <w:sz w:val="32"/>
        </w:rPr>
        <w:t>Data</w:t>
      </w:r>
    </w:p>
    <w:p w:rsidR="00104352" w:rsidRPr="00104352" w:rsidRDefault="00344F02" w:rsidP="002843F5">
      <w:pPr>
        <w:jc w:val="both"/>
        <w:rPr>
          <w:rFonts w:ascii="Garamond" w:hAnsi="Garamond"/>
          <w:sz w:val="32"/>
        </w:rPr>
      </w:pPr>
      <w:r>
        <w:rPr>
          <w:rFonts w:ascii="Garamond" w:hAnsi="Garamond"/>
          <w:sz w:val="32"/>
        </w:rPr>
        <w:t>We have the 9 month daily purchase of consumer on the whole platform. For each user we have created time, and number of downloads. This allows us to distinguish between heavy and light users, and the experience of user with the platform owner. For each purchase we know the price, the number of downloads, source of download, whether the mobile app is featured and the device name. This allows us to explain heterogeneity in each user purchase decision. For each app we also know the category, language and file size which allow us to explain heterogeneity.</w:t>
      </w:r>
    </w:p>
    <w:p w:rsidR="009C0ED7" w:rsidRDefault="009C0ED7" w:rsidP="002843F5">
      <w:pPr>
        <w:jc w:val="both"/>
        <w:rPr>
          <w:rFonts w:ascii="Garamond" w:hAnsi="Garamond"/>
          <w:sz w:val="32"/>
        </w:rPr>
      </w:pPr>
      <w:r>
        <w:rPr>
          <w:rFonts w:ascii="Garamond" w:hAnsi="Garamond"/>
          <w:b/>
          <w:sz w:val="32"/>
        </w:rPr>
        <w:t>Estimation</w:t>
      </w:r>
    </w:p>
    <w:p w:rsidR="009C0ED7" w:rsidRDefault="00EA57C2" w:rsidP="00EA57C2">
      <w:pPr>
        <w:jc w:val="both"/>
        <w:rPr>
          <w:rFonts w:ascii="Garamond" w:hAnsi="Garamond"/>
          <w:sz w:val="32"/>
        </w:rPr>
      </w:pPr>
      <w:r>
        <w:rPr>
          <w:rFonts w:ascii="Garamond" w:hAnsi="Garamond"/>
          <w:sz w:val="32"/>
        </w:rPr>
        <w:t>We use Metrapolist-H</w:t>
      </w:r>
      <w:r w:rsidR="009C0ED7">
        <w:rPr>
          <w:rFonts w:ascii="Garamond" w:hAnsi="Garamond"/>
          <w:sz w:val="32"/>
        </w:rPr>
        <w:t xml:space="preserve">asting, Hierarchical Bayesian, and Kalman filter forward filtering backward smoothing for our estimation. </w:t>
      </w:r>
      <w:r w:rsidR="00064EBB">
        <w:rPr>
          <w:rFonts w:ascii="Garamond" w:hAnsi="Garamond"/>
          <w:sz w:val="32"/>
        </w:rPr>
        <w:t xml:space="preserve">We use MPEC </w:t>
      </w:r>
      <w:r w:rsidR="00064EBB">
        <w:rPr>
          <w:rFonts w:ascii="Garamond" w:hAnsi="Garamond"/>
          <w:sz w:val="32"/>
        </w:rPr>
        <w:lastRenderedPageBreak/>
        <w:t>algorithm modified for Bayesian estimation, and we estimate it using Metrapolist-Hasting algorithm.</w:t>
      </w:r>
    </w:p>
    <w:p w:rsidR="009C2B6F" w:rsidRDefault="009C2B6F" w:rsidP="009C2B6F">
      <w:pPr>
        <w:jc w:val="both"/>
        <w:rPr>
          <w:rFonts w:ascii="Garamond" w:hAnsi="Garamond"/>
          <w:sz w:val="32"/>
        </w:rPr>
      </w:pPr>
      <w:r>
        <w:rPr>
          <w:rFonts w:ascii="Garamond" w:hAnsi="Garamond"/>
          <w:b/>
          <w:sz w:val="32"/>
        </w:rPr>
        <w:t>Conclusion</w:t>
      </w:r>
    </w:p>
    <w:p w:rsidR="009C2B6F" w:rsidRPr="009C0ED7" w:rsidRDefault="00634850" w:rsidP="002843F5">
      <w:pPr>
        <w:jc w:val="both"/>
        <w:rPr>
          <w:rFonts w:ascii="Garamond" w:hAnsi="Garamond"/>
          <w:sz w:val="32"/>
        </w:rPr>
      </w:pPr>
      <w:r>
        <w:rPr>
          <w:rFonts w:ascii="Garamond" w:hAnsi="Garamond"/>
          <w:sz w:val="32"/>
        </w:rPr>
        <w:t xml:space="preserve">We model </w:t>
      </w:r>
      <w:r w:rsidR="00252544">
        <w:rPr>
          <w:rFonts w:ascii="Garamond" w:hAnsi="Garamond"/>
          <w:sz w:val="32"/>
        </w:rPr>
        <w:t xml:space="preserve">consumer’s decision to purchase from mobile app category. We used the panel data to estimate our model. Our model explains the level of substitution and complementarity of the mobile app categories. We run counterfactual to understand how incentivizing one category can impact the revenue of the platform. We believe our study has various managerial implications. </w:t>
      </w:r>
      <w:bookmarkStart w:id="0" w:name="_GoBack"/>
      <w:bookmarkEnd w:id="0"/>
    </w:p>
    <w:p w:rsidR="00E42CA5" w:rsidRPr="00E42CA5" w:rsidRDefault="00E42CA5" w:rsidP="00E42CA5">
      <w:pPr>
        <w:jc w:val="center"/>
        <w:rPr>
          <w:rFonts w:ascii="Garamond" w:hAnsi="Garamond"/>
          <w:sz w:val="32"/>
        </w:rPr>
      </w:pPr>
    </w:p>
    <w:sectPr w:rsidR="00E42CA5" w:rsidRPr="00E4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7C82"/>
    <w:rsid w:val="00064EBB"/>
    <w:rsid w:val="000757C2"/>
    <w:rsid w:val="00081D0F"/>
    <w:rsid w:val="00091CA1"/>
    <w:rsid w:val="000A16F6"/>
    <w:rsid w:val="000C67CD"/>
    <w:rsid w:val="000E3DDC"/>
    <w:rsid w:val="00104352"/>
    <w:rsid w:val="00177011"/>
    <w:rsid w:val="00182DD8"/>
    <w:rsid w:val="001E3B70"/>
    <w:rsid w:val="001F7EE2"/>
    <w:rsid w:val="0020598A"/>
    <w:rsid w:val="00252544"/>
    <w:rsid w:val="00257911"/>
    <w:rsid w:val="002843F5"/>
    <w:rsid w:val="002967C7"/>
    <w:rsid w:val="002F26C7"/>
    <w:rsid w:val="003052EE"/>
    <w:rsid w:val="00307477"/>
    <w:rsid w:val="00344F02"/>
    <w:rsid w:val="00364237"/>
    <w:rsid w:val="00375652"/>
    <w:rsid w:val="003B3753"/>
    <w:rsid w:val="003E20EA"/>
    <w:rsid w:val="003E6C08"/>
    <w:rsid w:val="00407BB2"/>
    <w:rsid w:val="0041056C"/>
    <w:rsid w:val="0045685F"/>
    <w:rsid w:val="004610E4"/>
    <w:rsid w:val="0047684E"/>
    <w:rsid w:val="004858D6"/>
    <w:rsid w:val="004B16CD"/>
    <w:rsid w:val="004B6212"/>
    <w:rsid w:val="004C0CEC"/>
    <w:rsid w:val="004D66C2"/>
    <w:rsid w:val="004F06F4"/>
    <w:rsid w:val="00526165"/>
    <w:rsid w:val="005A0694"/>
    <w:rsid w:val="005C0398"/>
    <w:rsid w:val="005C3D72"/>
    <w:rsid w:val="005D6A83"/>
    <w:rsid w:val="00634850"/>
    <w:rsid w:val="0068605E"/>
    <w:rsid w:val="00686FEA"/>
    <w:rsid w:val="006C2831"/>
    <w:rsid w:val="006D0508"/>
    <w:rsid w:val="006D1921"/>
    <w:rsid w:val="006E4787"/>
    <w:rsid w:val="006F0857"/>
    <w:rsid w:val="006F35AE"/>
    <w:rsid w:val="00753ED6"/>
    <w:rsid w:val="007D4A0A"/>
    <w:rsid w:val="007D7720"/>
    <w:rsid w:val="00826865"/>
    <w:rsid w:val="00835425"/>
    <w:rsid w:val="00875FF2"/>
    <w:rsid w:val="00882580"/>
    <w:rsid w:val="008F77DF"/>
    <w:rsid w:val="00955119"/>
    <w:rsid w:val="00965C03"/>
    <w:rsid w:val="00994F47"/>
    <w:rsid w:val="009953A0"/>
    <w:rsid w:val="009C0ED7"/>
    <w:rsid w:val="009C2B6F"/>
    <w:rsid w:val="009C733C"/>
    <w:rsid w:val="00A000B5"/>
    <w:rsid w:val="00A24451"/>
    <w:rsid w:val="00A95365"/>
    <w:rsid w:val="00AB28AE"/>
    <w:rsid w:val="00AD0392"/>
    <w:rsid w:val="00AE1456"/>
    <w:rsid w:val="00AE3C14"/>
    <w:rsid w:val="00B94D60"/>
    <w:rsid w:val="00B94E10"/>
    <w:rsid w:val="00B9700D"/>
    <w:rsid w:val="00BA6586"/>
    <w:rsid w:val="00C17ACD"/>
    <w:rsid w:val="00C36F44"/>
    <w:rsid w:val="00C9401C"/>
    <w:rsid w:val="00CA6F12"/>
    <w:rsid w:val="00CB2A67"/>
    <w:rsid w:val="00CC115A"/>
    <w:rsid w:val="00CD61B4"/>
    <w:rsid w:val="00CE0632"/>
    <w:rsid w:val="00CE215F"/>
    <w:rsid w:val="00CE7846"/>
    <w:rsid w:val="00D423C8"/>
    <w:rsid w:val="00D47F1E"/>
    <w:rsid w:val="00D515C5"/>
    <w:rsid w:val="00D51705"/>
    <w:rsid w:val="00D60D71"/>
    <w:rsid w:val="00D736BC"/>
    <w:rsid w:val="00D95AE3"/>
    <w:rsid w:val="00DA715D"/>
    <w:rsid w:val="00DB315A"/>
    <w:rsid w:val="00DC338C"/>
    <w:rsid w:val="00DE0510"/>
    <w:rsid w:val="00DF1BBA"/>
    <w:rsid w:val="00E242FF"/>
    <w:rsid w:val="00E35CD9"/>
    <w:rsid w:val="00E42CA5"/>
    <w:rsid w:val="00E43608"/>
    <w:rsid w:val="00E9529E"/>
    <w:rsid w:val="00EA2C70"/>
    <w:rsid w:val="00EA57C2"/>
    <w:rsid w:val="00EF0150"/>
    <w:rsid w:val="00F162D3"/>
    <w:rsid w:val="00F959DF"/>
    <w:rsid w:val="00FB4579"/>
    <w:rsid w:val="00FB6C7A"/>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fontTable" Target="fontTable.xml"/><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20" Type="http://schemas.openxmlformats.org/officeDocument/2006/relationships/oleObject" Target="embeddings/oleObject8.bin"/><Relationship Id="rId41"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108</cp:revision>
  <dcterms:created xsi:type="dcterms:W3CDTF">2014-05-12T19:47:00Z</dcterms:created>
  <dcterms:modified xsi:type="dcterms:W3CDTF">2014-05-13T13:34:00Z</dcterms:modified>
</cp:coreProperties>
</file>