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B93D8A"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C818A76" w:rsidR="001F5D90" w:rsidRPr="003A40D0" w:rsidRDefault="00773306" w:rsidP="00381118">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w:t>
      </w:r>
      <w:proofErr w:type="spellStart"/>
      <w:r w:rsidR="00770621" w:rsidRPr="003A40D0">
        <w:rPr>
          <w:rFonts w:ascii="Times New Roman" w:hAnsi="Times New Roman" w:cs="Times New Roman"/>
          <w:bCs/>
          <w:color w:val="252525"/>
        </w:rPr>
        <w:t>Kalman</w:t>
      </w:r>
      <w:proofErr w:type="spellEnd"/>
      <w:r w:rsidR="00770621" w:rsidRPr="003A40D0">
        <w:rPr>
          <w:rFonts w:ascii="Times New Roman" w:hAnsi="Times New Roman" w:cs="Times New Roman"/>
          <w:bCs/>
          <w:color w:val="252525"/>
        </w:rPr>
        <w:t xml:space="preserve">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t>
      </w:r>
      <w:r w:rsidR="00381118">
        <w:rPr>
          <w:rFonts w:ascii="Times New Roman" w:hAnsi="Times New Roman" w:cs="Times New Roman"/>
          <w:bCs/>
          <w:color w:val="252525"/>
        </w:rPr>
        <w:t>are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 xml:space="preserve">uncertainty in </w:t>
      </w:r>
      <w:r w:rsidR="004334C0">
        <w:rPr>
          <w:rFonts w:ascii="Times New Roman" w:hAnsi="Times New Roman" w:cs="Times New Roman"/>
          <w:bCs/>
          <w:color w:val="252525"/>
        </w:rPr>
        <w:t>product rating</w:t>
      </w:r>
      <w:r w:rsidR="006F3FBF">
        <w:rPr>
          <w:rFonts w:ascii="Times New Roman" w:hAnsi="Times New Roman" w:cs="Times New Roman"/>
          <w:bCs/>
          <w:color w:val="252525"/>
        </w:rPr>
        <w:t>s</w:t>
      </w:r>
      <w:r w:rsidR="00076477">
        <w:rPr>
          <w:rFonts w:ascii="Times New Roman" w:hAnsi="Times New Roman" w:cs="Times New Roman"/>
          <w:bCs/>
          <w:color w:val="252525"/>
        </w:rPr>
        <w:t xml:space="preserve"> </w:t>
      </w:r>
      <w:r w:rsidR="00E765F5">
        <w:rPr>
          <w:rFonts w:ascii="Times New Roman" w:hAnsi="Times New Roman" w:cs="Times New Roman"/>
          <w:bCs/>
          <w:color w:val="252525"/>
        </w:rPr>
        <w:t>negatively</w:t>
      </w:r>
      <w:r w:rsidR="00593DB0">
        <w:rPr>
          <w:rFonts w:ascii="Times New Roman" w:hAnsi="Times New Roman" w:cs="Times New Roman"/>
          <w:bCs/>
          <w:color w:val="252525"/>
        </w:rPr>
        <w:t xml:space="preserve"> </w:t>
      </w:r>
      <w:r w:rsidR="00076477">
        <w:rPr>
          <w:rFonts w:ascii="Times New Roman" w:hAnsi="Times New Roman" w:cs="Times New Roman"/>
          <w:bCs/>
          <w:color w:val="252525"/>
        </w:rPr>
        <w:t>affect</w:t>
      </w:r>
      <w:r w:rsidR="00BA13FA">
        <w:rPr>
          <w:rFonts w:ascii="Times New Roman" w:hAnsi="Times New Roman" w:cs="Times New Roman"/>
          <w:bCs/>
          <w:color w:val="252525"/>
        </w:rPr>
        <w:t>s</w:t>
      </w:r>
      <w:r w:rsidR="00076477">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w:t>
      </w:r>
      <w:proofErr w:type="spellStart"/>
      <w:r w:rsidR="009A5D2E">
        <w:rPr>
          <w:rFonts w:ascii="Times New Roman" w:hAnsi="Times New Roman" w:cs="Times New Roman"/>
          <w:bCs/>
          <w:color w:val="252525"/>
        </w:rPr>
        <w:t>Lattin</w:t>
      </w:r>
      <w:proofErr w:type="spellEnd"/>
      <w:r w:rsidR="009A5D2E">
        <w:rPr>
          <w:rFonts w:ascii="Times New Roman" w:hAnsi="Times New Roman" w:cs="Times New Roman"/>
          <w:bCs/>
          <w:color w:val="252525"/>
        </w:rPr>
        <w:t xml:space="preserve">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w:t>
      </w:r>
      <w:r w:rsidR="00147F2B">
        <w:rPr>
          <w:rFonts w:ascii="Times New Roman" w:hAnsi="Times New Roman" w:cs="Times New Roman"/>
          <w:bCs/>
          <w:color w:val="252525"/>
        </w:rPr>
        <w:lastRenderedPageBreak/>
        <w:t xml:space="preserve">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w:t>
      </w:r>
      <w:proofErr w:type="spellStart"/>
      <w:r w:rsidR="00AC63DF">
        <w:rPr>
          <w:rFonts w:ascii="Times New Roman" w:hAnsi="Times New Roman" w:cs="Times New Roman"/>
          <w:bCs/>
          <w:color w:val="252525"/>
        </w:rPr>
        <w:t>Oshri</w:t>
      </w:r>
      <w:proofErr w:type="spellEnd"/>
      <w:r w:rsidR="00AC63DF">
        <w:rPr>
          <w:rFonts w:ascii="Times New Roman" w:hAnsi="Times New Roman" w:cs="Times New Roman"/>
          <w:bCs/>
          <w:color w:val="252525"/>
        </w:rPr>
        <w:t xml:space="preserve">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14EA23A6" w:rsidR="00497A9F" w:rsidRDefault="00291281" w:rsidP="000F79D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0F79D8">
        <w:rPr>
          <w:rFonts w:ascii="Times New Roman" w:hAnsi="Times New Roman" w:cs="Times New Roman"/>
          <w:bCs/>
          <w:color w:val="252525"/>
        </w:rPr>
        <w:t>measure</w:t>
      </w:r>
      <w:r w:rsidR="002B7273">
        <w:rPr>
          <w:rFonts w:ascii="Times New Roman" w:hAnsi="Times New Roman" w:cs="Times New Roman"/>
          <w:bCs/>
          <w:color w:val="252525"/>
        </w:rPr>
        <w:t xml:space="preserve">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proofErr w:type="gramStart"/>
      <w:r w:rsidR="009D74F2">
        <w:rPr>
          <w:rFonts w:ascii="Times New Roman" w:hAnsi="Times New Roman" w:cs="Times New Roman"/>
          <w:bCs/>
          <w:color w:val="252525"/>
        </w:rPr>
        <w:t>Consumers</w:t>
      </w:r>
      <w:proofErr w:type="gramEnd"/>
      <w:r w:rsidR="009D74F2">
        <w:rPr>
          <w:rFonts w:ascii="Times New Roman" w:hAnsi="Times New Roman" w:cs="Times New Roman"/>
          <w:bCs/>
          <w:color w:val="252525"/>
        </w:rPr>
        <w:t xml:space="preserve">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w:t>
      </w:r>
      <w:r w:rsidR="001B3E3C">
        <w:rPr>
          <w:rFonts w:ascii="Times New Roman" w:hAnsi="Times New Roman" w:cs="Times New Roman"/>
          <w:bCs/>
          <w:color w:val="252525"/>
        </w:rPr>
        <w:t>for</w:t>
      </w:r>
      <w:r w:rsidR="00E36117">
        <w:rPr>
          <w:rFonts w:ascii="Times New Roman" w:hAnsi="Times New Roman" w:cs="Times New Roman"/>
          <w:bCs/>
          <w:color w:val="252525"/>
        </w:rPr>
        <w:t xml:space="preserve">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762D27">
        <w:rPr>
          <w:rFonts w:ascii="Times New Roman" w:hAnsi="Times New Roman" w:cs="Times New Roman"/>
          <w:bCs/>
          <w:color w:val="252525"/>
        </w:rPr>
        <w:t xml:space="preserve">Marketing scholars has </w:t>
      </w:r>
      <w:r w:rsidR="005A3830">
        <w:rPr>
          <w:rFonts w:ascii="Times New Roman" w:hAnsi="Times New Roman" w:cs="Times New Roman"/>
          <w:bCs/>
          <w:color w:val="252525"/>
        </w:rPr>
        <w:t>empirically tested</w:t>
      </w:r>
      <w:r w:rsidR="00762D27">
        <w:rPr>
          <w:rFonts w:ascii="Times New Roman" w:hAnsi="Times New Roman" w:cs="Times New Roman"/>
          <w:bCs/>
          <w:color w:val="252525"/>
        </w:rPr>
        <w:t xml:space="preserv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188B9AE2" w:rsidR="00AF065F" w:rsidRDefault="00497A9F" w:rsidP="00340F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3C190C">
        <w:rPr>
          <w:rFonts w:ascii="Times New Roman" w:hAnsi="Times New Roman" w:cs="Times New Roman"/>
          <w:bCs/>
          <w:color w:val="252525"/>
        </w:rPr>
        <w:t xml:space="preserve">they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proofErr w:type="spellStart"/>
      <w:r w:rsidR="009D6367" w:rsidRPr="00667F22">
        <w:rPr>
          <w:rFonts w:ascii="Times New Roman" w:hAnsi="Times New Roman" w:cs="Times New Roman"/>
          <w:bCs/>
          <w:color w:val="252525"/>
        </w:rPr>
        <w:t>Bikhchandani</w:t>
      </w:r>
      <w:proofErr w:type="spellEnd"/>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340F87">
        <w:rPr>
          <w:rFonts w:ascii="Times New Roman" w:hAnsi="Times New Roman" w:cs="Times New Roman"/>
          <w:bCs/>
          <w:color w:val="252525"/>
        </w:rPr>
        <w:t xml:space="preserve">firms outside software industry do not measure </w:t>
      </w:r>
      <w:r w:rsidR="00630AAA">
        <w:rPr>
          <w:rFonts w:ascii="Times New Roman" w:hAnsi="Times New Roman" w:cs="Times New Roman"/>
          <w:bCs/>
          <w:color w:val="252525"/>
        </w:rPr>
        <w:t xml:space="preserve">user base size </w:t>
      </w:r>
      <w:r w:rsidR="00340F87">
        <w:rPr>
          <w:rFonts w:ascii="Times New Roman" w:hAnsi="Times New Roman" w:cs="Times New Roman"/>
          <w:bCs/>
          <w:color w:val="252525"/>
        </w:rPr>
        <w:t>of their products</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3B1812A0" w:rsidR="00AD4013" w:rsidRDefault="00334741" w:rsidP="004607B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w:t>
      </w:r>
      <w:proofErr w:type="spellStart"/>
      <w:r>
        <w:rPr>
          <w:rFonts w:ascii="Times New Roman" w:hAnsi="Times New Roman" w:cs="Times New Roman"/>
          <w:bCs/>
          <w:color w:val="252525"/>
        </w:rPr>
        <w:t>Chavelier</w:t>
      </w:r>
      <w:proofErr w:type="spellEnd"/>
      <w:r>
        <w:rPr>
          <w:rFonts w:ascii="Times New Roman" w:hAnsi="Times New Roman" w:cs="Times New Roman"/>
          <w:bCs/>
          <w:color w:val="252525"/>
        </w:rPr>
        <w:t xml:space="preserve"> and </w:t>
      </w:r>
      <w:proofErr w:type="spellStart"/>
      <w:r>
        <w:rPr>
          <w:rFonts w:ascii="Times New Roman" w:hAnsi="Times New Roman" w:cs="Times New Roman"/>
          <w:bCs/>
          <w:color w:val="252525"/>
        </w:rPr>
        <w:t>Mayzlin</w:t>
      </w:r>
      <w:proofErr w:type="spellEnd"/>
      <w:r>
        <w:rPr>
          <w:rFonts w:ascii="Times New Roman" w:hAnsi="Times New Roman" w:cs="Times New Roman"/>
          <w:bCs/>
          <w:color w:val="252525"/>
        </w:rPr>
        <w:t xml:space="preserve"> 2006; </w:t>
      </w:r>
      <w:proofErr w:type="spellStart"/>
      <w:r>
        <w:rPr>
          <w:rFonts w:ascii="Times New Roman" w:hAnsi="Times New Roman" w:cs="Times New Roman"/>
          <w:bCs/>
          <w:color w:val="252525"/>
        </w:rPr>
        <w:t>Clemsons</w:t>
      </w:r>
      <w:proofErr w:type="spellEnd"/>
      <w:r>
        <w:rPr>
          <w:rFonts w:ascii="Times New Roman" w:hAnsi="Times New Roman" w:cs="Times New Roman"/>
          <w:bCs/>
          <w:color w:val="252525"/>
        </w:rPr>
        <w:t xml:space="preserve"> et al. 2006; </w:t>
      </w:r>
      <w:proofErr w:type="spellStart"/>
      <w:r>
        <w:rPr>
          <w:rFonts w:ascii="Times New Roman" w:hAnsi="Times New Roman" w:cs="Times New Roman"/>
          <w:bCs/>
          <w:color w:val="252525"/>
        </w:rPr>
        <w:t>Dellarocas</w:t>
      </w:r>
      <w:proofErr w:type="spellEnd"/>
      <w:r>
        <w:rPr>
          <w:rFonts w:ascii="Times New Roman" w:hAnsi="Times New Roman" w:cs="Times New Roman"/>
          <w:bCs/>
          <w:color w:val="252525"/>
        </w:rPr>
        <w:t xml:space="preserve">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8563A6">
        <w:rPr>
          <w:rFonts w:ascii="Times New Roman" w:hAnsi="Times New Roman" w:cs="Times New Roman"/>
          <w:bCs/>
          <w:color w:val="252525"/>
        </w:rPr>
        <w:t>theories suggest</w:t>
      </w:r>
      <w:r w:rsidR="003B0E30">
        <w:rPr>
          <w:rFonts w:ascii="Times New Roman" w:hAnsi="Times New Roman" w:cs="Times New Roman"/>
          <w:bCs/>
          <w:color w:val="252525"/>
        </w:rPr>
        <w:t xml:space="preserve">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1105DD">
        <w:rPr>
          <w:rFonts w:ascii="Times New Roman" w:hAnsi="Times New Roman" w:cs="Times New Roman"/>
          <w:bCs/>
          <w:color w:val="252525"/>
        </w:rPr>
        <w:t>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CC3341">
        <w:rPr>
          <w:rFonts w:ascii="Times New Roman" w:hAnsi="Times New Roman" w:cs="Times New Roman"/>
          <w:bCs/>
          <w:color w:val="252525"/>
        </w:rPr>
        <w:t>, Bruce et al. 2012</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w:t>
      </w:r>
      <w:r w:rsidR="00337DC9">
        <w:rPr>
          <w:rFonts w:ascii="Times New Roman" w:hAnsi="Times New Roman" w:cs="Times New Roman"/>
          <w:bCs/>
          <w:color w:val="252525"/>
        </w:rPr>
        <w:t xml:space="preserve"> for supplementary products</w:t>
      </w:r>
      <w:r w:rsidR="00AD4013">
        <w:rPr>
          <w:rFonts w:ascii="Times New Roman" w:hAnsi="Times New Roman" w:cs="Times New Roman"/>
          <w:bCs/>
          <w:color w:val="252525"/>
        </w:rPr>
        <w:t xml:space="preserve">.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4607BF">
        <w:rPr>
          <w:rFonts w:ascii="Times New Roman" w:hAnsi="Times New Roman" w:cs="Times New Roman"/>
          <w:bCs/>
          <w:color w:val="252525"/>
        </w:rPr>
        <w:t>advertising (Chen et al. 2010)</w:t>
      </w:r>
      <w:r w:rsidR="00E66419">
        <w:rPr>
          <w:rFonts w:ascii="Times New Roman" w:hAnsi="Times New Roman" w:cs="Times New Roman"/>
          <w:bCs/>
          <w:color w:val="252525"/>
        </w:rPr>
        <w:t>,</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w:t>
      </w:r>
      <w:proofErr w:type="spellStart"/>
      <w:r w:rsidR="00030C50">
        <w:rPr>
          <w:rFonts w:ascii="Times New Roman" w:hAnsi="Times New Roman" w:cs="Times New Roman"/>
          <w:bCs/>
          <w:color w:val="252525"/>
        </w:rPr>
        <w:t>Chavelier</w:t>
      </w:r>
      <w:proofErr w:type="spellEnd"/>
      <w:r w:rsidR="00030C50">
        <w:rPr>
          <w:rFonts w:ascii="Times New Roman" w:hAnsi="Times New Roman" w:cs="Times New Roman"/>
          <w:bCs/>
          <w:color w:val="252525"/>
        </w:rPr>
        <w:t xml:space="preserve"> and </w:t>
      </w:r>
      <w:proofErr w:type="spellStart"/>
      <w:r w:rsidR="00030C50">
        <w:rPr>
          <w:rFonts w:ascii="Times New Roman" w:hAnsi="Times New Roman" w:cs="Times New Roman"/>
          <w:bCs/>
          <w:color w:val="252525"/>
        </w:rPr>
        <w:t>Mayzlin</w:t>
      </w:r>
      <w:proofErr w:type="spellEnd"/>
      <w:r w:rsidR="00030C50">
        <w:rPr>
          <w:rFonts w:ascii="Times New Roman" w:hAnsi="Times New Roman" w:cs="Times New Roman"/>
          <w:bCs/>
          <w:color w:val="252525"/>
        </w:rPr>
        <w:t xml:space="preserve"> 2006)</w:t>
      </w:r>
      <w:r w:rsidR="008855B7">
        <w:rPr>
          <w:rFonts w:ascii="Times New Roman" w:hAnsi="Times New Roman" w:cs="Times New Roman"/>
          <w:bCs/>
          <w:color w:val="252525"/>
        </w:rPr>
        <w:t xml:space="preserve">, but heterogeneity </w:t>
      </w:r>
      <w:r w:rsidR="00FF0B84">
        <w:rPr>
          <w:rFonts w:ascii="Times New Roman" w:hAnsi="Times New Roman" w:cs="Times New Roman"/>
          <w:bCs/>
          <w:color w:val="252525"/>
        </w:rPr>
        <w:t>may</w:t>
      </w:r>
      <w:r w:rsidR="008855B7">
        <w:rPr>
          <w:rFonts w:ascii="Times New Roman" w:hAnsi="Times New Roman" w:cs="Times New Roman"/>
          <w:bCs/>
          <w:color w:val="252525"/>
        </w:rPr>
        <w:t xml:space="preserve">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w:t>
      </w:r>
      <w:r w:rsidR="000A0C3F">
        <w:rPr>
          <w:rFonts w:ascii="Times New Roman" w:hAnsi="Times New Roman" w:cs="Times New Roman"/>
          <w:bCs/>
          <w:color w:val="252525"/>
        </w:rPr>
        <w:t>may</w:t>
      </w:r>
      <w:r w:rsidR="00B46DAC">
        <w:rPr>
          <w:rFonts w:ascii="Times New Roman" w:hAnsi="Times New Roman" w:cs="Times New Roman"/>
          <w:bCs/>
          <w:color w:val="252525"/>
        </w:rPr>
        <w:t xml:space="preserve"> be interesting to know how the effect of rating varies across supplementary products. </w:t>
      </w:r>
      <w:r w:rsidR="00030C50">
        <w:rPr>
          <w:rFonts w:ascii="Times New Roman" w:hAnsi="Times New Roman" w:cs="Times New Roman"/>
          <w:bCs/>
          <w:color w:val="252525"/>
        </w:rPr>
        <w:t xml:space="preserve">This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w:t>
      </w:r>
      <w:r w:rsidR="00980CA0">
        <w:rPr>
          <w:rFonts w:ascii="Times New Roman" w:hAnsi="Times New Roman" w:cs="Times New Roman"/>
          <w:bCs/>
          <w:color w:val="252525"/>
        </w:rPr>
        <w:t>estimates</w:t>
      </w:r>
      <w:r w:rsidR="00030C50">
        <w:rPr>
          <w:rFonts w:ascii="Times New Roman" w:hAnsi="Times New Roman" w:cs="Times New Roman"/>
          <w:bCs/>
          <w:color w:val="252525"/>
        </w:rPr>
        <w:t xml:space="preserve">. </w:t>
      </w:r>
      <w:r w:rsidR="00E316F9">
        <w:rPr>
          <w:rFonts w:ascii="Times New Roman" w:hAnsi="Times New Roman" w:cs="Times New Roman"/>
          <w:bCs/>
          <w:color w:val="252525"/>
        </w:rPr>
        <w:t xml:space="preserve"> </w:t>
      </w:r>
      <w:r w:rsidR="00C91159">
        <w:rPr>
          <w:rFonts w:ascii="Times New Roman" w:hAnsi="Times New Roman" w:cs="Times New Roman"/>
          <w:bCs/>
          <w:color w:val="252525"/>
        </w:rPr>
        <w:t>This heterogeneity can be explained by institutional characteristics of the market.</w:t>
      </w:r>
    </w:p>
    <w:p w14:paraId="26E7B867" w14:textId="1F5C7D2B" w:rsidR="00AC76CB" w:rsidRDefault="00A82EE3" w:rsidP="00397B0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w:t>
      </w:r>
      <w:r w:rsidR="003E5CE5">
        <w:rPr>
          <w:rFonts w:ascii="Times New Roman" w:hAnsi="Times New Roman" w:cs="Times New Roman"/>
          <w:bCs/>
          <w:color w:val="252525"/>
        </w:rPr>
        <w:t>’</w:t>
      </w:r>
      <w:r w:rsidR="008A0329">
        <w:rPr>
          <w:rFonts w:ascii="Times New Roman" w:hAnsi="Times New Roman" w:cs="Times New Roman"/>
          <w:bCs/>
          <w:color w:val="252525"/>
        </w:rPr>
        <w:t xml:space="preserve">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w:t>
      </w:r>
      <w:proofErr w:type="spellStart"/>
      <w:r w:rsidR="00A269B3">
        <w:rPr>
          <w:rFonts w:ascii="Times New Roman" w:hAnsi="Times New Roman" w:cs="Times New Roman"/>
          <w:bCs/>
          <w:color w:val="252525"/>
        </w:rPr>
        <w:t>Erdem</w:t>
      </w:r>
      <w:proofErr w:type="spellEnd"/>
      <w:r w:rsidR="00A269B3">
        <w:rPr>
          <w:rFonts w:ascii="Times New Roman" w:hAnsi="Times New Roman" w:cs="Times New Roman"/>
          <w:bCs/>
          <w:color w:val="252525"/>
        </w:rPr>
        <w:t xml:space="preserve">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r w:rsidR="008E05AD">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w:t>
      </w:r>
      <w:r w:rsidR="003C0C80">
        <w:rPr>
          <w:rFonts w:ascii="Times New Roman" w:hAnsi="Times New Roman" w:cs="Times New Roman"/>
          <w:bCs/>
          <w:color w:val="252525"/>
        </w:rPr>
        <w:t xml:space="preserve"> and product rating</w:t>
      </w:r>
      <w:r w:rsidR="00DB5EEC">
        <w:rPr>
          <w:rFonts w:ascii="Times New Roman" w:hAnsi="Times New Roman" w:cs="Times New Roman"/>
          <w:bCs/>
          <w:color w:val="252525"/>
        </w:rPr>
        <w:t xml:space="preserve"> </w:t>
      </w:r>
      <w:r w:rsidR="00007796">
        <w:rPr>
          <w:rFonts w:ascii="Times New Roman" w:hAnsi="Times New Roman" w:cs="Times New Roman"/>
          <w:bCs/>
          <w:color w:val="252525"/>
        </w:rPr>
        <w:t>(</w:t>
      </w:r>
      <w:proofErr w:type="spellStart"/>
      <w:r w:rsidR="00007796" w:rsidRPr="00007796">
        <w:rPr>
          <w:rFonts w:ascii="Times New Roman" w:hAnsi="Times New Roman" w:cs="Times New Roman"/>
          <w:bCs/>
          <w:color w:val="252525"/>
        </w:rPr>
        <w:t>Gatignon</w:t>
      </w:r>
      <w:proofErr w:type="spellEnd"/>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w:t>
      </w:r>
      <w:r w:rsidR="00244C04">
        <w:rPr>
          <w:rFonts w:ascii="Times New Roman" w:hAnsi="Times New Roman" w:cs="Times New Roman"/>
          <w:bCs/>
          <w:color w:val="252525"/>
        </w:rPr>
        <w:lastRenderedPageBreak/>
        <w:t>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w:t>
      </w:r>
      <w:r w:rsidR="00267743">
        <w:rPr>
          <w:rFonts w:ascii="Times New Roman" w:hAnsi="Times New Roman" w:cs="Times New Roman"/>
          <w:bCs/>
          <w:color w:val="252525"/>
        </w:rPr>
        <w:t xml:space="preserve">competition intensity, measured by </w:t>
      </w:r>
      <w:r w:rsidR="00AF7EBB">
        <w:rPr>
          <w:rFonts w:ascii="Times New Roman" w:hAnsi="Times New Roman" w:cs="Times New Roman"/>
          <w:bCs/>
          <w:color w:val="252525"/>
        </w:rPr>
        <w:t>size of author’s team</w:t>
      </w:r>
      <w:r w:rsidR="00267743">
        <w:rPr>
          <w:rFonts w:ascii="Times New Roman" w:hAnsi="Times New Roman" w:cs="Times New Roman"/>
          <w:bCs/>
          <w:color w:val="252525"/>
        </w:rPr>
        <w:t>,</w:t>
      </w:r>
      <w:r w:rsidR="00AF7EBB">
        <w:rPr>
          <w:rFonts w:ascii="Times New Roman" w:hAnsi="Times New Roman" w:cs="Times New Roman"/>
          <w:bCs/>
          <w:color w:val="252525"/>
        </w:rPr>
        <w:t xml:space="preserve">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C6535">
        <w:rPr>
          <w:rFonts w:ascii="Times New Roman" w:hAnsi="Times New Roman" w:cs="Times New Roman"/>
          <w:bCs/>
          <w:color w:val="252525"/>
        </w:rPr>
        <w:t xml:space="preserve">market </w:t>
      </w:r>
      <w:r w:rsidR="00EB7736">
        <w:rPr>
          <w:rFonts w:ascii="Times New Roman" w:hAnsi="Times New Roman" w:cs="Times New Roman"/>
          <w:bCs/>
          <w:color w:val="252525"/>
        </w:rPr>
        <w:t>segments</w:t>
      </w:r>
      <w:r w:rsidR="00951E8F">
        <w:rPr>
          <w:rFonts w:ascii="Times New Roman" w:hAnsi="Times New Roman" w:cs="Times New Roman"/>
          <w:bCs/>
          <w:color w:val="252525"/>
        </w:rPr>
        <w:t>.</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551022">
        <w:rPr>
          <w:rFonts w:ascii="Times New Roman" w:hAnsi="Times New Roman" w:cs="Times New Roman"/>
          <w:bCs/>
          <w:color w:val="252525"/>
        </w:rPr>
        <w:t xml:space="preserve"> </w:t>
      </w:r>
      <w:r w:rsidR="00795B28">
        <w:rPr>
          <w:rFonts w:ascii="Times New Roman" w:hAnsi="Times New Roman" w:cs="Times New Roman"/>
          <w:bCs/>
          <w:color w:val="252525"/>
        </w:rPr>
        <w:t xml:space="preserve">affects </w:t>
      </w:r>
      <w:r w:rsidR="002F1B72">
        <w:rPr>
          <w:rFonts w:ascii="Times New Roman" w:hAnsi="Times New Roman" w:cs="Times New Roman"/>
          <w:bCs/>
          <w:color w:val="252525"/>
        </w:rPr>
        <w:t xml:space="preserve">it (Brown and </w:t>
      </w:r>
      <w:proofErr w:type="spellStart"/>
      <w:r w:rsidR="002F1B72">
        <w:rPr>
          <w:rFonts w:ascii="Times New Roman" w:hAnsi="Times New Roman" w:cs="Times New Roman"/>
          <w:bCs/>
          <w:color w:val="252525"/>
        </w:rPr>
        <w:t>Reingen</w:t>
      </w:r>
      <w:proofErr w:type="spellEnd"/>
      <w:r w:rsidR="002F1B72">
        <w:rPr>
          <w:rFonts w:ascii="Times New Roman" w:hAnsi="Times New Roman" w:cs="Times New Roman"/>
          <w:bCs/>
          <w:color w:val="252525"/>
        </w:rPr>
        <w:t xml:space="preserve">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A6632">
        <w:rPr>
          <w:rFonts w:ascii="Times New Roman" w:hAnsi="Times New Roman" w:cs="Times New Roman"/>
          <w:bCs/>
          <w:color w:val="252525"/>
        </w:rPr>
        <w:t xml:space="preserv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CA41FD">
        <w:rPr>
          <w:rFonts w:ascii="Times New Roman" w:hAnsi="Times New Roman" w:cs="Times New Roman"/>
          <w:bCs/>
          <w:color w:val="252525"/>
        </w:rPr>
        <w:t>We can segment add-ons market</w:t>
      </w:r>
      <w:r w:rsidR="0088423F">
        <w:rPr>
          <w:rFonts w:ascii="Times New Roman" w:hAnsi="Times New Roman" w:cs="Times New Roman"/>
          <w:bCs/>
          <w:color w:val="252525"/>
        </w:rPr>
        <w:t xml:space="preserve"> </w:t>
      </w:r>
      <w:r w:rsidR="00CA41FD">
        <w:rPr>
          <w:rFonts w:ascii="Times New Roman" w:hAnsi="Times New Roman" w:cs="Times New Roman"/>
          <w:bCs/>
          <w:color w:val="252525"/>
        </w:rPr>
        <w:t>by</w:t>
      </w:r>
      <w:r w:rsidR="0088423F">
        <w:rPr>
          <w:rFonts w:ascii="Times New Roman" w:hAnsi="Times New Roman" w:cs="Times New Roman"/>
          <w:bCs/>
          <w:color w:val="252525"/>
        </w:rPr>
        <w:t xml:space="preserve"> operating </w:t>
      </w:r>
      <w:r w:rsidR="003730AE">
        <w:rPr>
          <w:rFonts w:ascii="Times New Roman" w:hAnsi="Times New Roman" w:cs="Times New Roman"/>
          <w:bCs/>
          <w:color w:val="252525"/>
        </w:rPr>
        <w:t xml:space="preserve">system </w:t>
      </w:r>
      <w:r w:rsidR="00130506">
        <w:rPr>
          <w:rFonts w:ascii="Times New Roman" w:hAnsi="Times New Roman" w:cs="Times New Roman"/>
          <w:bCs/>
          <w:color w:val="252525"/>
        </w:rPr>
        <w:t>consumer</w:t>
      </w:r>
      <w:r w:rsidR="0088423F">
        <w:rPr>
          <w:rFonts w:ascii="Times New Roman" w:hAnsi="Times New Roman" w:cs="Times New Roman"/>
          <w:bCs/>
          <w:color w:val="252525"/>
        </w:rPr>
        <w:t xml:space="preserve"> use, i.e. </w:t>
      </w:r>
      <w:r w:rsidR="00AC76CB">
        <w:rPr>
          <w:rFonts w:ascii="Times New Roman" w:hAnsi="Times New Roman" w:cs="Times New Roman"/>
          <w:bCs/>
          <w:color w:val="252525"/>
        </w:rPr>
        <w:t xml:space="preserve">MS </w:t>
      </w:r>
      <w:r w:rsidR="0088423F">
        <w:rPr>
          <w:rFonts w:ascii="Times New Roman" w:hAnsi="Times New Roman" w:cs="Times New Roman"/>
          <w:bCs/>
          <w:color w:val="252525"/>
        </w:rPr>
        <w:t xml:space="preserve">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D4356C">
        <w:rPr>
          <w:rFonts w:ascii="Times New Roman" w:hAnsi="Times New Roman" w:cs="Times New Roman"/>
          <w:bCs/>
          <w:color w:val="252525"/>
        </w:rPr>
        <w:t>W</w:t>
      </w:r>
      <w:r w:rsidR="005161BB">
        <w:rPr>
          <w:rFonts w:ascii="Times New Roman" w:hAnsi="Times New Roman" w:cs="Times New Roman"/>
          <w:bCs/>
          <w:color w:val="252525"/>
        </w:rPr>
        <w:t>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w:t>
      </w:r>
      <w:r w:rsidR="000A10CE">
        <w:rPr>
          <w:rFonts w:ascii="Times New Roman" w:hAnsi="Times New Roman" w:cs="Times New Roman"/>
          <w:bCs/>
          <w:color w:val="252525"/>
        </w:rPr>
        <w:t>,</w:t>
      </w:r>
      <w:r w:rsidR="000A10CE" w:rsidRPr="000A10CE">
        <w:rPr>
          <w:rFonts w:ascii="Times New Roman" w:hAnsi="Times New Roman" w:cs="Times New Roman"/>
          <w:bCs/>
          <w:color w:val="252525"/>
        </w:rPr>
        <w:t xml:space="preserve"> </w:t>
      </w:r>
      <w:r w:rsidR="00AC76CB">
        <w:rPr>
          <w:rFonts w:ascii="Times New Roman" w:hAnsi="Times New Roman" w:cs="Times New Roman"/>
          <w:bCs/>
          <w:color w:val="252525"/>
        </w:rPr>
        <w:t>because for example MS Windows users are more likely to refer add-on to other MS Windows u</w:t>
      </w:r>
      <w:r w:rsidR="006A00A9">
        <w:rPr>
          <w:rFonts w:ascii="Times New Roman" w:hAnsi="Times New Roman" w:cs="Times New Roman"/>
          <w:bCs/>
          <w:color w:val="252525"/>
        </w:rPr>
        <w:t>s</w:t>
      </w:r>
      <w:r w:rsidR="00AC76CB">
        <w:rPr>
          <w:rFonts w:ascii="Times New Roman" w:hAnsi="Times New Roman" w:cs="Times New Roman"/>
          <w:bCs/>
          <w:color w:val="252525"/>
        </w:rPr>
        <w:t>ers</w:t>
      </w:r>
      <w:r w:rsidR="00FA5E98">
        <w:rPr>
          <w:rFonts w:ascii="Times New Roman" w:hAnsi="Times New Roman" w:cs="Times New Roman"/>
          <w:bCs/>
          <w:color w:val="252525"/>
        </w:rPr>
        <w:t xml:space="preserve"> than </w:t>
      </w:r>
      <w:r w:rsidR="00E21B1C">
        <w:rPr>
          <w:rFonts w:ascii="Times New Roman" w:hAnsi="Times New Roman" w:cs="Times New Roman"/>
          <w:bCs/>
          <w:color w:val="252525"/>
        </w:rPr>
        <w:t xml:space="preserve">to </w:t>
      </w:r>
      <w:r w:rsidR="00337079">
        <w:rPr>
          <w:rFonts w:ascii="Times New Roman" w:hAnsi="Times New Roman" w:cs="Times New Roman"/>
          <w:bCs/>
          <w:color w:val="252525"/>
        </w:rPr>
        <w:t>Linux</w:t>
      </w:r>
      <w:r w:rsidR="00FA5E98">
        <w:rPr>
          <w:rFonts w:ascii="Times New Roman" w:hAnsi="Times New Roman" w:cs="Times New Roman"/>
          <w:bCs/>
          <w:color w:val="252525"/>
        </w:rPr>
        <w:t xml:space="preserve"> users</w:t>
      </w:r>
      <w:r w:rsidR="00AC76CB">
        <w:rPr>
          <w:rFonts w:ascii="Times New Roman" w:hAnsi="Times New Roman" w:cs="Times New Roman"/>
          <w:bCs/>
          <w:color w:val="252525"/>
        </w:rPr>
        <w:t>.</w:t>
      </w:r>
    </w:p>
    <w:p w14:paraId="1B074570" w14:textId="789EE134" w:rsidR="00221F83" w:rsidRDefault="00221F83" w:rsidP="005D0C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How product rating and observational learning affects the demand</w:t>
      </w:r>
      <w:r w:rsidR="004A6FAA">
        <w:rPr>
          <w:rFonts w:ascii="Times New Roman" w:hAnsi="Times New Roman" w:cs="Times New Roman"/>
          <w:bCs/>
          <w:color w:val="252525"/>
        </w:rPr>
        <w:t xml:space="preserve"> for supplementary products</w:t>
      </w:r>
      <w:r w:rsidR="008D7BD1">
        <w:rPr>
          <w:rFonts w:ascii="Times New Roman" w:hAnsi="Times New Roman" w:cs="Times New Roman"/>
          <w:bCs/>
          <w:color w:val="252525"/>
        </w:rPr>
        <w:t xml:space="preserve">?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there is any dynamic in the effect</w:t>
      </w:r>
      <w:r w:rsidR="008F6837">
        <w:rPr>
          <w:rFonts w:ascii="Times New Roman" w:hAnsi="Times New Roman" w:cs="Times New Roman"/>
          <w:bCs/>
          <w:color w:val="252525"/>
        </w:rPr>
        <w:t>s</w:t>
      </w:r>
      <w:r w:rsidR="00861C48">
        <w:rPr>
          <w:rFonts w:ascii="Times New Roman" w:hAnsi="Times New Roman" w:cs="Times New Roman"/>
          <w:bCs/>
          <w:color w:val="252525"/>
        </w:rPr>
        <w:t xml:space="preserve">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w:t>
      </w:r>
      <w:r w:rsidR="005D0C63">
        <w:rPr>
          <w:rFonts w:ascii="Times New Roman" w:hAnsi="Times New Roman" w:cs="Times New Roman"/>
          <w:bCs/>
          <w:color w:val="252525"/>
        </w:rPr>
        <w:t xml:space="preserve">market </w:t>
      </w:r>
      <w:r w:rsidR="00C0281E">
        <w:rPr>
          <w:rFonts w:ascii="Times New Roman" w:hAnsi="Times New Roman" w:cs="Times New Roman"/>
          <w:bCs/>
          <w:color w:val="252525"/>
        </w:rPr>
        <w:t>segment</w:t>
      </w:r>
      <w:r w:rsidR="005D0C63">
        <w:rPr>
          <w:rFonts w:ascii="Times New Roman" w:hAnsi="Times New Roman" w:cs="Times New Roman"/>
          <w:bCs/>
          <w:color w:val="252525"/>
        </w:rPr>
        <w:t xml:space="preserve"> size and competition intensity</w:t>
      </w:r>
      <w:r w:rsidR="00C62539">
        <w:rPr>
          <w:rFonts w:ascii="Times New Roman" w:hAnsi="Times New Roman" w:cs="Times New Roman"/>
          <w:bCs/>
          <w:color w:val="252525"/>
        </w:rPr>
        <w:t xml:space="preserve">? </w:t>
      </w:r>
      <w:r w:rsidR="00AA358C">
        <w:rPr>
          <w:rFonts w:ascii="Times New Roman" w:hAnsi="Times New Roman" w:cs="Times New Roman"/>
          <w:bCs/>
          <w:color w:val="252525"/>
        </w:rPr>
        <w:t>How does uncertainty moderate</w:t>
      </w:r>
      <w:r w:rsidR="000E1E9B">
        <w:rPr>
          <w:rFonts w:ascii="Times New Roman" w:hAnsi="Times New Roman" w:cs="Times New Roman"/>
          <w:bCs/>
          <w:color w:val="252525"/>
        </w:rPr>
        <w:t xml:space="preserve">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0EDEEF6D" w14:textId="77777777" w:rsidR="004E0424" w:rsidRDefault="00A02B3F" w:rsidP="001132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This latent measure parsimoniously summarizes the influence</w:t>
      </w:r>
      <w:r w:rsidR="007B6369">
        <w:rPr>
          <w:rFonts w:ascii="Times New Roman" w:hAnsi="Times New Roman" w:cs="Times New Roman"/>
          <w:bCs/>
          <w:color w:val="252525"/>
        </w:rPr>
        <w:t>s</w:t>
      </w:r>
      <w:r w:rsidR="006B60E0">
        <w:rPr>
          <w:rFonts w:ascii="Times New Roman" w:hAnsi="Times New Roman" w:cs="Times New Roman"/>
          <w:bCs/>
          <w:color w:val="252525"/>
        </w:rPr>
        <w:t xml:space="preserv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w:t>
      </w:r>
      <w:r w:rsidR="00CC1BA9">
        <w:rPr>
          <w:rFonts w:ascii="Times New Roman" w:hAnsi="Times New Roman" w:cs="Times New Roman"/>
          <w:bCs/>
          <w:color w:val="252525"/>
        </w:rPr>
        <w:t>test</w:t>
      </w:r>
      <w:r w:rsidR="00B3104C">
        <w:rPr>
          <w:rFonts w:ascii="Times New Roman" w:hAnsi="Times New Roman" w:cs="Times New Roman"/>
          <w:bCs/>
          <w:color w:val="252525"/>
        </w:rPr>
        <w:t xml:space="preserve"> the model </w:t>
      </w:r>
      <w:r w:rsidR="00CC1BA9">
        <w:rPr>
          <w:rFonts w:ascii="Times New Roman" w:hAnsi="Times New Roman" w:cs="Times New Roman"/>
          <w:bCs/>
          <w:color w:val="252525"/>
        </w:rPr>
        <w:t>on</w:t>
      </w:r>
      <w:r w:rsidR="00B3104C">
        <w:rPr>
          <w:rFonts w:ascii="Times New Roman" w:hAnsi="Times New Roman" w:cs="Times New Roman"/>
          <w:bCs/>
          <w:color w:val="252525"/>
        </w:rPr>
        <w:t xml:space="preserve"> </w:t>
      </w:r>
      <w:r w:rsidR="00CC7B13">
        <w:rPr>
          <w:rFonts w:ascii="Times New Roman" w:hAnsi="Times New Roman" w:cs="Times New Roman"/>
          <w:bCs/>
          <w:color w:val="252525"/>
        </w:rPr>
        <w:t>Firefox add-ons, and estimate the pa</w:t>
      </w:r>
      <w:r w:rsidR="00B26735">
        <w:rPr>
          <w:rFonts w:ascii="Times New Roman" w:hAnsi="Times New Roman" w:cs="Times New Roman"/>
          <w:bCs/>
          <w:color w:val="252525"/>
        </w:rPr>
        <w:t xml:space="preserve">rameters using </w:t>
      </w:r>
      <w:proofErr w:type="spellStart"/>
      <w:r w:rsidR="00B26735">
        <w:rPr>
          <w:rFonts w:ascii="Times New Roman" w:hAnsi="Times New Roman" w:cs="Times New Roman"/>
          <w:bCs/>
          <w:color w:val="252525"/>
        </w:rPr>
        <w:t>Kalman</w:t>
      </w:r>
      <w:proofErr w:type="spellEnd"/>
      <w:r w:rsidR="00B26735">
        <w:rPr>
          <w:rFonts w:ascii="Times New Roman" w:hAnsi="Times New Roman" w:cs="Times New Roman"/>
          <w:bCs/>
          <w:color w:val="252525"/>
        </w:rPr>
        <w:t xml:space="preserve">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r w:rsidR="00CB25C9">
        <w:rPr>
          <w:rFonts w:ascii="Times New Roman" w:hAnsi="Times New Roman" w:cs="Times New Roman"/>
          <w:bCs/>
          <w:color w:val="252525"/>
        </w:rPr>
        <w:t xml:space="preserve"> </w:t>
      </w:r>
      <w:r w:rsidR="003F471B">
        <w:rPr>
          <w:rFonts w:ascii="Times New Roman" w:hAnsi="Times New Roman" w:cs="Times New Roman"/>
          <w:bCs/>
          <w:color w:val="252525"/>
        </w:rPr>
        <w:t xml:space="preserve"> </w:t>
      </w:r>
    </w:p>
    <w:p w14:paraId="26FBBC6A" w14:textId="60E377FE" w:rsidR="003F471B" w:rsidRDefault="003F471B" w:rsidP="006545F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013172">
        <w:rPr>
          <w:rFonts w:ascii="Times New Roman" w:hAnsi="Times New Roman" w:cs="Times New Roman"/>
          <w:bCs/>
          <w:color w:val="252525"/>
        </w:rPr>
        <w:t xml:space="preserve"> for supplementary products</w:t>
      </w:r>
      <w:r w:rsidR="00F27B58">
        <w:rPr>
          <w:rFonts w:ascii="Times New Roman" w:hAnsi="Times New Roman" w:cs="Times New Roman"/>
          <w:bCs/>
          <w:color w:val="252525"/>
        </w:rPr>
        <w:t>.</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w:t>
      </w:r>
      <w:r w:rsidR="0080752B">
        <w:rPr>
          <w:rFonts w:ascii="Times New Roman" w:hAnsi="Times New Roman" w:cs="Times New Roman"/>
          <w:bCs/>
          <w:color w:val="252525"/>
        </w:rPr>
        <w:t>consider</w:t>
      </w:r>
      <w:r w:rsidR="00353F92">
        <w:rPr>
          <w:rFonts w:ascii="Times New Roman" w:hAnsi="Times New Roman" w:cs="Times New Roman"/>
          <w:bCs/>
          <w:color w:val="252525"/>
        </w:rPr>
        <w:t xml:space="preserve"> such dynamic and heterogeneity the </w:t>
      </w:r>
      <w:r w:rsidR="005C2EE7">
        <w:rPr>
          <w:rFonts w:ascii="Times New Roman" w:hAnsi="Times New Roman" w:cs="Times New Roman"/>
          <w:bCs/>
          <w:color w:val="252525"/>
        </w:rPr>
        <w:t>estimates are</w:t>
      </w:r>
      <w:r w:rsidR="00353F92">
        <w:rPr>
          <w:rFonts w:ascii="Times New Roman" w:hAnsi="Times New Roman" w:cs="Times New Roman"/>
          <w:bCs/>
          <w:color w:val="252525"/>
        </w:rPr>
        <w:t xml:space="preserve"> biased. </w:t>
      </w:r>
      <w:r w:rsidR="00797134">
        <w:rPr>
          <w:rFonts w:ascii="Times New Roman" w:hAnsi="Times New Roman" w:cs="Times New Roman"/>
          <w:bCs/>
          <w:color w:val="252525"/>
        </w:rPr>
        <w:t>We</w:t>
      </w:r>
      <w:r w:rsidR="009B66E3">
        <w:rPr>
          <w:rFonts w:ascii="Times New Roman" w:hAnsi="Times New Roman" w:cs="Times New Roman"/>
          <w:bCs/>
          <w:color w:val="252525"/>
        </w:rPr>
        <w:t xml:space="preserve"> </w:t>
      </w:r>
      <w:r w:rsidR="004E35A8">
        <w:rPr>
          <w:rFonts w:ascii="Times New Roman" w:hAnsi="Times New Roman" w:cs="Times New Roman"/>
          <w:bCs/>
          <w:color w:val="252525"/>
        </w:rPr>
        <w:t>find</w:t>
      </w:r>
      <w:r w:rsidR="009B66E3">
        <w:rPr>
          <w:rFonts w:ascii="Times New Roman" w:hAnsi="Times New Roman" w:cs="Times New Roman"/>
          <w:bCs/>
          <w:color w:val="252525"/>
        </w:rPr>
        <w:t xml:space="preserve"> out that </w:t>
      </w:r>
      <w:r w:rsidR="00D9144E">
        <w:rPr>
          <w:rFonts w:ascii="Times New Roman" w:hAnsi="Times New Roman" w:cs="Times New Roman"/>
          <w:bCs/>
          <w:color w:val="252525"/>
        </w:rPr>
        <w:t>uncertainty</w:t>
      </w:r>
      <w:r w:rsidR="002E4F70">
        <w:rPr>
          <w:rFonts w:ascii="Times New Roman" w:hAnsi="Times New Roman" w:cs="Times New Roman"/>
          <w:bCs/>
          <w:color w:val="252525"/>
        </w:rPr>
        <w:t xml:space="preserve"> in product rating</w:t>
      </w:r>
      <w:r w:rsidR="00D9144E">
        <w:rPr>
          <w:rFonts w:ascii="Times New Roman" w:hAnsi="Times New Roman" w:cs="Times New Roman"/>
          <w:bCs/>
          <w:color w:val="252525"/>
        </w:rPr>
        <w:t xml:space="preserve"> </w:t>
      </w:r>
      <w:r w:rsidR="00F346A5">
        <w:rPr>
          <w:rFonts w:ascii="Times New Roman" w:hAnsi="Times New Roman" w:cs="Times New Roman"/>
          <w:bCs/>
          <w:color w:val="252525"/>
        </w:rPr>
        <w:t xml:space="preserve">at steady state </w:t>
      </w:r>
      <w:r w:rsidR="00E02958">
        <w:rPr>
          <w:rFonts w:ascii="Times New Roman" w:hAnsi="Times New Roman" w:cs="Times New Roman"/>
          <w:bCs/>
          <w:color w:val="252525"/>
        </w:rPr>
        <w:t xml:space="preserve">negatively </w:t>
      </w:r>
      <w:r w:rsidR="00F346A5">
        <w:rPr>
          <w:rFonts w:ascii="Times New Roman" w:hAnsi="Times New Roman" w:cs="Times New Roman"/>
          <w:bCs/>
          <w:color w:val="252525"/>
        </w:rPr>
        <w:t xml:space="preserve">affects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w:t>
      </w:r>
      <w:r w:rsidR="00B85ACB">
        <w:rPr>
          <w:rFonts w:ascii="Times New Roman" w:hAnsi="Times New Roman" w:cs="Times New Roman"/>
          <w:bCs/>
          <w:color w:val="252525"/>
        </w:rPr>
        <w:t>impact</w:t>
      </w:r>
      <w:r w:rsidR="009B66E3">
        <w:rPr>
          <w:rFonts w:ascii="Times New Roman" w:hAnsi="Times New Roman" w:cs="Times New Roman"/>
          <w:bCs/>
          <w:color w:val="252525"/>
        </w:rPr>
        <w:t xml:space="preserve">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A268E0">
        <w:rPr>
          <w:rFonts w:ascii="Times New Roman" w:hAnsi="Times New Roman" w:cs="Times New Roman"/>
          <w:bCs/>
          <w:color w:val="252525"/>
        </w:rPr>
        <w:t>and</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r w:rsidR="006249FB">
        <w:rPr>
          <w:rFonts w:ascii="Times New Roman" w:hAnsi="Times New Roman" w:cs="Times New Roman"/>
          <w:bCs/>
          <w:color w:val="252525"/>
        </w:rPr>
        <w:t xml:space="preserve"> </w:t>
      </w:r>
      <w:r w:rsidR="00E367CB">
        <w:rPr>
          <w:rFonts w:ascii="Times New Roman" w:hAnsi="Times New Roman" w:cs="Times New Roman"/>
          <w:bCs/>
          <w:color w:val="252525"/>
        </w:rPr>
        <w:t>Moreover</w:t>
      </w:r>
      <w:r w:rsidR="006249FB">
        <w:rPr>
          <w:rFonts w:ascii="Times New Roman" w:hAnsi="Times New Roman" w:cs="Times New Roman"/>
          <w:bCs/>
          <w:color w:val="252525"/>
        </w:rPr>
        <w:t xml:space="preserve">, </w:t>
      </w:r>
      <w:r w:rsidR="00DE7BB5">
        <w:rPr>
          <w:rFonts w:ascii="Times New Roman" w:hAnsi="Times New Roman" w:cs="Times New Roman"/>
          <w:bCs/>
          <w:color w:val="252525"/>
        </w:rPr>
        <w:t xml:space="preserve">the </w:t>
      </w:r>
      <w:r w:rsidR="004B1D5A">
        <w:rPr>
          <w:rFonts w:ascii="Times New Roman" w:hAnsi="Times New Roman" w:cs="Times New Roman"/>
          <w:bCs/>
          <w:color w:val="252525"/>
        </w:rPr>
        <w:t>results suggest</w:t>
      </w:r>
      <w:r w:rsidR="00DE7BB5">
        <w:rPr>
          <w:rFonts w:ascii="Times New Roman" w:hAnsi="Times New Roman" w:cs="Times New Roman"/>
          <w:bCs/>
          <w:color w:val="252525"/>
        </w:rPr>
        <w:t xml:space="preserve"> that</w:t>
      </w:r>
      <w:r w:rsidR="006249FB">
        <w:rPr>
          <w:rFonts w:ascii="Times New Roman" w:hAnsi="Times New Roman" w:cs="Times New Roman"/>
          <w:bCs/>
          <w:color w:val="252525"/>
        </w:rPr>
        <w:t xml:space="preserve"> competition intensity and market</w:t>
      </w:r>
      <w:r w:rsidR="0054054E">
        <w:rPr>
          <w:rFonts w:ascii="Times New Roman" w:hAnsi="Times New Roman" w:cs="Times New Roman"/>
          <w:bCs/>
          <w:color w:val="252525"/>
        </w:rPr>
        <w:t xml:space="preserve"> segment</w:t>
      </w:r>
      <w:r w:rsidR="006249FB">
        <w:rPr>
          <w:rFonts w:ascii="Times New Roman" w:hAnsi="Times New Roman" w:cs="Times New Roman"/>
          <w:bCs/>
          <w:color w:val="252525"/>
        </w:rPr>
        <w:t xml:space="preserve"> size can explain heterogeneity in the effects of product rating and </w:t>
      </w:r>
      <w:r w:rsidR="0011324F">
        <w:rPr>
          <w:rFonts w:ascii="Times New Roman" w:hAnsi="Times New Roman" w:cs="Times New Roman"/>
          <w:bCs/>
          <w:color w:val="252525"/>
        </w:rPr>
        <w:t xml:space="preserve">attractiveness </w:t>
      </w:r>
      <w:r w:rsidR="006249FB">
        <w:rPr>
          <w:rFonts w:ascii="Times New Roman" w:hAnsi="Times New Roman" w:cs="Times New Roman"/>
          <w:bCs/>
          <w:color w:val="252525"/>
        </w:rPr>
        <w:t>carryover of supplementary product on demand.</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F22C402" w:rsidR="00A12A36" w:rsidRDefault="00A12A36" w:rsidP="00195B1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w:t>
      </w:r>
      <w:r w:rsidR="00B1207D">
        <w:rPr>
          <w:rFonts w:ascii="Times New Roman" w:hAnsi="Times New Roman" w:cs="Times New Roman"/>
          <w:color w:val="252525"/>
        </w:rPr>
        <w:t xml:space="preserve"> learning</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 xml:space="preserve">(Moe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 xml:space="preserve">Moe and </w:t>
      </w:r>
      <w:proofErr w:type="spellStart"/>
      <w:r w:rsidR="001D19D7">
        <w:rPr>
          <w:rFonts w:ascii="Times New Roman" w:hAnsi="Times New Roman" w:cs="Times New Roman"/>
          <w:color w:val="252525"/>
        </w:rPr>
        <w:t>Trusov</w:t>
      </w:r>
      <w:proofErr w:type="spellEnd"/>
      <w:r w:rsidR="001D19D7">
        <w:rPr>
          <w:rFonts w:ascii="Times New Roman" w:hAnsi="Times New Roman" w:cs="Times New Roman"/>
          <w:color w:val="252525"/>
        </w:rPr>
        <w:t xml:space="preserve">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 xml:space="preserve">studied how previously posted ratings will affect individual’s decision on whether and what to contribute. They found out that there is selection effect in the </w:t>
      </w:r>
      <w:r w:rsidR="00AF3EA3">
        <w:rPr>
          <w:rFonts w:ascii="Times New Roman" w:hAnsi="Times New Roman" w:cs="Times New Roman"/>
          <w:color w:val="252525"/>
        </w:rPr>
        <w:lastRenderedPageBreak/>
        <w:t>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xml:space="preserve">, despite </w:t>
      </w:r>
      <w:r w:rsidR="00C86E82">
        <w:rPr>
          <w:rFonts w:ascii="Times New Roman" w:hAnsi="Times New Roman" w:cs="Times New Roman"/>
          <w:color w:val="252525"/>
        </w:rPr>
        <w:lastRenderedPageBreak/>
        <w:t>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w:t>
      </w:r>
      <w:proofErr w:type="spellStart"/>
      <w:r w:rsidR="00F50DDE">
        <w:rPr>
          <w:rFonts w:ascii="Times New Roman" w:hAnsi="Times New Roman" w:cs="Times New Roman"/>
          <w:color w:val="252525"/>
        </w:rPr>
        <w:t>Bikhchandani</w:t>
      </w:r>
      <w:proofErr w:type="spellEnd"/>
      <w:r w:rsidR="00F50DDE">
        <w:rPr>
          <w:rFonts w:ascii="Times New Roman" w:hAnsi="Times New Roman" w:cs="Times New Roman"/>
          <w:color w:val="252525"/>
        </w:rPr>
        <w:t xml:space="preserve">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proofErr w:type="spellStart"/>
      <w:r w:rsidR="00F60569">
        <w:rPr>
          <w:rFonts w:ascii="Times New Roman" w:hAnsi="Times New Roman" w:cs="Times New Roman"/>
          <w:color w:val="252525"/>
        </w:rPr>
        <w:t>Bikhchandani</w:t>
      </w:r>
      <w:proofErr w:type="spellEnd"/>
      <w:r w:rsidR="00F60569">
        <w:rPr>
          <w:rFonts w:ascii="Times New Roman" w:hAnsi="Times New Roman" w:cs="Times New Roman"/>
          <w:color w:val="252525"/>
        </w:rPr>
        <w:t xml:space="preserve">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w:t>
      </w:r>
      <w:r>
        <w:rPr>
          <w:rFonts w:ascii="Times New Roman" w:hAnsi="Times New Roman" w:cs="Times New Roman"/>
          <w:color w:val="252525"/>
        </w:rPr>
        <w:lastRenderedPageBreak/>
        <w:t xml:space="preserve">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 xml:space="preserve">DLM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9716702"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9716703"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9716704"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9716705"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9716706"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9716707"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9716708"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9716709"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9716710"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9716711"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39716712"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39716713"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39716714"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39716715"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39716716"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39716717"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39716718"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39716719"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39716720"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 xml:space="preserve">Moe and </w:t>
      </w:r>
      <w:proofErr w:type="spellStart"/>
      <w:r w:rsidR="00BB7164">
        <w:rPr>
          <w:rFonts w:ascii="Times New Roman" w:hAnsi="Times New Roman" w:cs="Times New Roman"/>
          <w:bCs/>
          <w:color w:val="252525"/>
        </w:rPr>
        <w:t>Schwidel</w:t>
      </w:r>
      <w:proofErr w:type="spellEnd"/>
      <w:r w:rsidR="00BB7164">
        <w:rPr>
          <w:rFonts w:ascii="Times New Roman" w:hAnsi="Times New Roman" w:cs="Times New Roman"/>
          <w:bCs/>
          <w:color w:val="252525"/>
        </w:rPr>
        <w:t xml:space="preserve">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 xml:space="preserve">size of </w:t>
      </w:r>
      <w:r w:rsidR="005164D5">
        <w:rPr>
          <w:rFonts w:ascii="Times New Roman" w:hAnsi="Times New Roman" w:cs="Times New Roman"/>
          <w:bCs/>
          <w:color w:val="252525"/>
        </w:rPr>
        <w:lastRenderedPageBreak/>
        <w:t>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39716721"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39716722"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39716723"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39716724"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39716725"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39716726"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39716727"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0D778549" w:rsidR="00DF272F" w:rsidRDefault="00C24B17" w:rsidP="00BD6BE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 xml:space="preserve">Add-ons are </w:t>
      </w:r>
      <w:r w:rsidR="00C75623">
        <w:rPr>
          <w:rFonts w:ascii="Times New Roman" w:hAnsi="Times New Roman" w:cs="Times New Roman"/>
          <w:bCs/>
          <w:color w:val="252525"/>
        </w:rPr>
        <w:t>free</w:t>
      </w:r>
      <w:r w:rsidR="00E11095">
        <w:rPr>
          <w:rFonts w:ascii="Times New Roman" w:hAnsi="Times New Roman" w:cs="Times New Roman"/>
          <w:bCs/>
          <w:color w:val="252525"/>
        </w:rPr>
        <w:t xml:space="preserve"> software</w:t>
      </w:r>
      <w:r w:rsidR="00BD6BEE">
        <w:rPr>
          <w:rFonts w:ascii="Times New Roman" w:hAnsi="Times New Roman" w:cs="Times New Roman"/>
          <w:bCs/>
          <w:color w:val="252525"/>
        </w:rPr>
        <w:t xml:space="preserve"> complement to Firefox</w:t>
      </w:r>
      <w:r w:rsidR="00770BD1">
        <w:rPr>
          <w:rFonts w:ascii="Times New Roman" w:hAnsi="Times New Roman" w:cs="Times New Roman"/>
          <w:bCs/>
          <w:color w:val="252525"/>
        </w:rPr>
        <w:t xml:space="preserve"> web browser</w:t>
      </w:r>
      <w:r w:rsidR="00BD6BEE">
        <w:rPr>
          <w:rFonts w:ascii="Times New Roman" w:hAnsi="Times New Roman" w:cs="Times New Roman"/>
          <w:bCs/>
          <w:color w:val="252525"/>
        </w:rPr>
        <w:t>,</w:t>
      </w:r>
      <w:r w:rsidR="00E11095">
        <w:rPr>
          <w:rFonts w:ascii="Times New Roman" w:hAnsi="Times New Roman" w:cs="Times New Roman"/>
          <w:bCs/>
          <w:color w:val="252525"/>
        </w:rPr>
        <w:t xml:space="preserve"> </w:t>
      </w:r>
      <w:r w:rsidR="00BD6BEE">
        <w:rPr>
          <w:rFonts w:ascii="Times New Roman" w:hAnsi="Times New Roman" w:cs="Times New Roman"/>
          <w:bCs/>
          <w:color w:val="252525"/>
        </w:rPr>
        <w:t>which</w:t>
      </w:r>
      <w:r w:rsidR="00E11095">
        <w:rPr>
          <w:rFonts w:ascii="Times New Roman" w:hAnsi="Times New Roman" w:cs="Times New Roman"/>
          <w:bCs/>
          <w:color w:val="252525"/>
        </w:rPr>
        <w:t xml:space="preserve">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 xml:space="preserve">We collected all the </w:t>
      </w:r>
      <w:r w:rsidR="008A3AB9">
        <w:rPr>
          <w:rFonts w:ascii="Times New Roman" w:hAnsi="Times New Roman" w:cs="Times New Roman"/>
          <w:bCs/>
          <w:color w:val="252525"/>
        </w:rPr>
        <w:lastRenderedPageBreak/>
        <w:t>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091272AA" w:rsidR="006A1F60" w:rsidRDefault="00DF272F" w:rsidP="00F1035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 xml:space="preserve">a </w:t>
      </w:r>
      <w:r w:rsidR="00795F9E">
        <w:rPr>
          <w:rFonts w:ascii="Times New Roman" w:hAnsi="Times New Roman" w:cs="Times New Roman"/>
          <w:bCs/>
          <w:color w:val="252525"/>
        </w:rPr>
        <w:lastRenderedPageBreak/>
        <w:t>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xml:space="preserve">, age of </w:t>
      </w:r>
      <w:r w:rsidR="000D583B">
        <w:rPr>
          <w:rFonts w:ascii="Times New Roman" w:hAnsi="Times New Roman" w:cs="Times New Roman"/>
          <w:bCs/>
          <w:color w:val="252525"/>
        </w:rPr>
        <w:lastRenderedPageBreak/>
        <w:t>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39716728"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39716729"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39716730"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39716731"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39716732"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39716733"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39716734"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w:t>
      </w:r>
      <w:proofErr w:type="spellStart"/>
      <w:r w:rsidR="00322CB2">
        <w:rPr>
          <w:rFonts w:ascii="Times New Roman" w:hAnsi="Times New Roman" w:cs="Times New Roman"/>
          <w:bCs/>
          <w:color w:val="252525"/>
        </w:rPr>
        <w:t>Kalman</w:t>
      </w:r>
      <w:proofErr w:type="spellEnd"/>
      <w:r w:rsidR="00322CB2">
        <w:rPr>
          <w:rFonts w:ascii="Times New Roman" w:hAnsi="Times New Roman" w:cs="Times New Roman"/>
          <w:bCs/>
          <w:color w:val="252525"/>
        </w:rPr>
        <w:t xml:space="preserve">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lastRenderedPageBreak/>
        <w:t xml:space="preserve">Conditional posterior of state parameters given non-state parameters is a linear state-space model, so it can be sampled with standard </w:t>
      </w:r>
      <w:proofErr w:type="spellStart"/>
      <w:r w:rsidR="00FE272A">
        <w:rPr>
          <w:rFonts w:ascii="Times New Roman" w:hAnsi="Times New Roman" w:cs="Times New Roman"/>
          <w:bCs/>
          <w:color w:val="252525"/>
        </w:rPr>
        <w:t>Kalman</w:t>
      </w:r>
      <w:proofErr w:type="spellEnd"/>
      <w:r w:rsidR="00FE272A">
        <w:rPr>
          <w:rFonts w:ascii="Times New Roman" w:hAnsi="Times New Roman" w:cs="Times New Roman"/>
          <w:bCs/>
          <w:color w:val="252525"/>
        </w:rPr>
        <w:t xml:space="preserve">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w:t>
      </w:r>
      <w:proofErr w:type="spellStart"/>
      <w:r w:rsidR="00C36994">
        <w:rPr>
          <w:rFonts w:ascii="Times New Roman" w:hAnsi="Times New Roman" w:cs="Times New Roman"/>
          <w:bCs/>
          <w:color w:val="252525"/>
        </w:rPr>
        <w:t>Kalman</w:t>
      </w:r>
      <w:proofErr w:type="spellEnd"/>
      <w:r w:rsidR="00C36994">
        <w:rPr>
          <w:rFonts w:ascii="Times New Roman" w:hAnsi="Times New Roman" w:cs="Times New Roman"/>
          <w:bCs/>
          <w:color w:val="252525"/>
        </w:rPr>
        <w:t xml:space="preserve">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proofErr w:type="spellStart"/>
      <w:r w:rsidR="00ED3282">
        <w:rPr>
          <w:rFonts w:ascii="Times New Roman" w:hAnsi="Times New Roman" w:cs="Times New Roman"/>
          <w:bCs/>
          <w:color w:val="252525"/>
        </w:rPr>
        <w:t>Akaike</w:t>
      </w:r>
      <w:proofErr w:type="spellEnd"/>
      <w:r w:rsidR="00ED3282">
        <w:rPr>
          <w:rFonts w:ascii="Times New Roman" w:hAnsi="Times New Roman" w:cs="Times New Roman"/>
          <w:bCs/>
          <w:color w:val="252525"/>
        </w:rPr>
        <w:t xml:space="preserv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w:t>
      </w:r>
      <w:proofErr w:type="spellStart"/>
      <w:r w:rsidR="00760C8D">
        <w:rPr>
          <w:rFonts w:ascii="Times New Roman" w:hAnsi="Times New Roman" w:cs="Times New Roman"/>
          <w:bCs/>
          <w:color w:val="252525"/>
        </w:rPr>
        <w:t>Gelman</w:t>
      </w:r>
      <w:proofErr w:type="spellEnd"/>
      <w:r w:rsidR="00760C8D">
        <w:rPr>
          <w:rFonts w:ascii="Times New Roman" w:hAnsi="Times New Roman" w:cs="Times New Roman"/>
          <w:bCs/>
          <w:color w:val="252525"/>
        </w:rPr>
        <w:t xml:space="preserve">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w:t>
      </w:r>
      <w:proofErr w:type="gramStart"/>
      <w:r w:rsidR="00D87C3B">
        <w:rPr>
          <w:rFonts w:ascii="Times New Roman" w:hAnsi="Times New Roman" w:cs="Times New Roman"/>
          <w:bCs/>
          <w:color w:val="252525"/>
        </w:rPr>
        <w:t xml:space="preserve">. </w:t>
      </w:r>
      <w:proofErr w:type="gramEnd"/>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39716735"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i.e</w:t>
      </w:r>
      <w:proofErr w:type="gramStart"/>
      <w:r w:rsidR="0044743D">
        <w:rPr>
          <w:rFonts w:ascii="Times New Roman" w:hAnsi="Times New Roman" w:cs="Times New Roman"/>
          <w:bCs/>
          <w:color w:val="252525"/>
        </w:rPr>
        <w:t xml:space="preserve">. </w:t>
      </w:r>
      <w:proofErr w:type="gramEnd"/>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39716736"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 xml:space="preserve">estimates the effect of product rating and product category search and it underestimates the effect of mean of rating valence and new </w:t>
      </w:r>
      <w:r w:rsidR="0045120A" w:rsidRPr="0045120A">
        <w:rPr>
          <w:rFonts w:ascii="Times New Roman" w:hAnsi="Times New Roman" w:cs="Times New Roman"/>
          <w:bCs/>
          <w:color w:val="252525"/>
        </w:rPr>
        <w:lastRenderedPageBreak/>
        <w:t>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xml:space="preserve">, except one add-on which has carryover close to </w:t>
      </w:r>
      <w:proofErr w:type="gramStart"/>
      <w:r w:rsidR="00FE2A32">
        <w:rPr>
          <w:rFonts w:ascii="Times New Roman" w:hAnsi="Times New Roman" w:cs="Times New Roman"/>
          <w:color w:val="252525"/>
        </w:rPr>
        <w:t>zero.</w:t>
      </w:r>
      <w:proofErr w:type="gramEnd"/>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174FE0F6" w:rsidR="00425792" w:rsidRDefault="008667C9" w:rsidP="006156BB">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w:t>
      </w:r>
      <w:proofErr w:type="spellStart"/>
      <w:r w:rsidR="003B79FA">
        <w:rPr>
          <w:rFonts w:ascii="Times New Roman" w:hAnsi="Times New Roman" w:cs="Times New Roman"/>
          <w:color w:val="252525"/>
        </w:rPr>
        <w:t>Reingen</w:t>
      </w:r>
      <w:proofErr w:type="spellEnd"/>
      <w:r w:rsidR="003B79FA">
        <w:rPr>
          <w:rFonts w:ascii="Times New Roman" w:hAnsi="Times New Roman" w:cs="Times New Roman"/>
          <w:color w:val="252525"/>
        </w:rPr>
        <w:t xml:space="preserve"> 1987). </w:t>
      </w:r>
      <w:r w:rsidR="00C87170">
        <w:rPr>
          <w:rFonts w:ascii="Times New Roman" w:hAnsi="Times New Roman" w:cs="Times New Roman"/>
          <w:color w:val="252525"/>
        </w:rPr>
        <w:t>In other word</w:t>
      </w:r>
      <w:r w:rsidR="00EF2D11">
        <w:rPr>
          <w:rFonts w:ascii="Times New Roman" w:hAnsi="Times New Roman" w:cs="Times New Roman"/>
          <w:color w:val="252525"/>
        </w:rPr>
        <w:t>,</w:t>
      </w:r>
      <w:r w:rsidR="00C87170">
        <w:rPr>
          <w:rFonts w:ascii="Times New Roman" w:hAnsi="Times New Roman" w:cs="Times New Roman"/>
          <w:color w:val="252525"/>
        </w:rPr>
        <w:t xml:space="preserve"> MS windows users are more likely to refer this product to other MS windows users. Knowing that windows operating system has 80 percent of share of PC market, we can conclude that </w:t>
      </w:r>
      <w:r w:rsidR="00F740A1">
        <w:rPr>
          <w:rFonts w:ascii="Times New Roman" w:hAnsi="Times New Roman" w:cs="Times New Roman"/>
          <w:color w:val="252525"/>
        </w:rPr>
        <w:t xml:space="preserve">carryover of </w:t>
      </w:r>
      <w:r w:rsidR="00C17D21">
        <w:rPr>
          <w:rFonts w:ascii="Times New Roman" w:hAnsi="Times New Roman" w:cs="Times New Roman"/>
          <w:color w:val="252525"/>
        </w:rPr>
        <w:t>attractiveness of</w:t>
      </w:r>
      <w:r w:rsidR="00950F42">
        <w:rPr>
          <w:rFonts w:ascii="Times New Roman" w:hAnsi="Times New Roman" w:cs="Times New Roman"/>
          <w:color w:val="252525"/>
        </w:rPr>
        <w:t xml:space="preserve"> </w:t>
      </w:r>
      <w:r w:rsidR="00425792">
        <w:rPr>
          <w:rFonts w:ascii="Times New Roman" w:hAnsi="Times New Roman" w:cs="Times New Roman"/>
          <w:color w:val="252525"/>
        </w:rPr>
        <w:t xml:space="preserve">add-ons with higher Windows share </w:t>
      </w:r>
      <w:r w:rsidR="00F740A1">
        <w:rPr>
          <w:rFonts w:ascii="Times New Roman" w:hAnsi="Times New Roman" w:cs="Times New Roman"/>
          <w:color w:val="252525"/>
        </w:rPr>
        <w:t>is more</w:t>
      </w:r>
      <w:r w:rsidR="00ED04EF">
        <w:rPr>
          <w:rFonts w:ascii="Times New Roman" w:hAnsi="Times New Roman" w:cs="Times New Roman"/>
          <w:color w:val="252525"/>
        </w:rPr>
        <w:t>.</w:t>
      </w:r>
    </w:p>
    <w:p w14:paraId="14FF2DA0" w14:textId="77777777" w:rsidR="00850515" w:rsidRDefault="0077247D" w:rsidP="00850515">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xml:space="preserve">, and usage of product by previous </w:t>
      </w:r>
      <w:r w:rsidR="00E85844">
        <w:rPr>
          <w:rFonts w:ascii="Times New Roman" w:hAnsi="Times New Roman" w:cs="Times New Roman"/>
          <w:color w:val="252525"/>
        </w:rPr>
        <w:lastRenderedPageBreak/>
        <w:t>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proofErr w:type="spellStart"/>
      <w:r w:rsidR="00060848" w:rsidRPr="00060848">
        <w:rPr>
          <w:rFonts w:ascii="Times New Roman" w:hAnsi="Times New Roman" w:cs="Times New Roman"/>
          <w:color w:val="252525"/>
        </w:rPr>
        <w:t>Bikhchandani</w:t>
      </w:r>
      <w:proofErr w:type="spellEnd"/>
      <w:r w:rsidR="00060848">
        <w:rPr>
          <w:rFonts w:ascii="Times New Roman" w:hAnsi="Times New Roman" w:cs="Times New Roman"/>
          <w:color w:val="252525"/>
        </w:rPr>
        <w:t xml:space="preserve"> </w:t>
      </w:r>
      <w:proofErr w:type="gramStart"/>
      <w:r w:rsidR="00060848" w:rsidRPr="00060848">
        <w:rPr>
          <w:rFonts w:ascii="Times New Roman" w:hAnsi="Times New Roman" w:cs="Times New Roman"/>
          <w:color w:val="252525"/>
        </w:rPr>
        <w:t>et</w:t>
      </w:r>
      <w:proofErr w:type="gramEnd"/>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850515">
        <w:rPr>
          <w:rFonts w:ascii="Times New Roman" w:hAnsi="Times New Roman" w:cs="Times New Roman"/>
          <w:color w:val="252525"/>
        </w:rPr>
        <w:t>Figure 7 illustrates an example of add-on that diffusion force dominates observational learning force. We explained heterogeneity in this effect using variance of rating at steady state. Higher variance of rating leads to lower effect of user base size.  In other word, when there is higher uncertainty in rating, consumers learn less from others action than when there is low uncertainty in rating. This is a new finding to add to the literature that suggests positive interaction between product review and observational learning (Chen et al. 2010).</w:t>
      </w:r>
    </w:p>
    <w:p w14:paraId="7232C868" w14:textId="1F7CE237" w:rsidR="00C835C4" w:rsidRDefault="00C835C4" w:rsidP="00906C50">
      <w:pPr>
        <w:pStyle w:val="Default"/>
        <w:spacing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w:t>
      </w:r>
      <w:proofErr w:type="spellStart"/>
      <w:r w:rsidR="00155B24">
        <w:rPr>
          <w:rFonts w:ascii="Times New Roman" w:hAnsi="Times New Roman" w:cs="Times New Roman"/>
          <w:color w:val="252525"/>
        </w:rPr>
        <w:t>Godes</w:t>
      </w:r>
      <w:proofErr w:type="spellEnd"/>
      <w:r w:rsidR="00155B24">
        <w:rPr>
          <w:rFonts w:ascii="Times New Roman" w:hAnsi="Times New Roman" w:cs="Times New Roman"/>
          <w:color w:val="252525"/>
        </w:rPr>
        <w:t xml:space="preserve"> and Silva 2012; Li and </w:t>
      </w:r>
      <w:proofErr w:type="spellStart"/>
      <w:r w:rsidR="00155B24">
        <w:rPr>
          <w:rFonts w:ascii="Times New Roman" w:hAnsi="Times New Roman" w:cs="Times New Roman"/>
          <w:color w:val="252525"/>
        </w:rPr>
        <w:t>Hitt</w:t>
      </w:r>
      <w:proofErr w:type="spellEnd"/>
      <w:r w:rsidR="00155B24">
        <w:rPr>
          <w:rFonts w:ascii="Times New Roman" w:hAnsi="Times New Roman" w:cs="Times New Roman"/>
          <w:color w:val="252525"/>
        </w:rPr>
        <w:t xml:space="preserve">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w:t>
      </w:r>
      <w:r w:rsidR="00C22F3E">
        <w:rPr>
          <w:rFonts w:ascii="Times New Roman" w:hAnsi="Times New Roman" w:cs="Times New Roman"/>
          <w:color w:val="252525"/>
        </w:rPr>
        <w:lastRenderedPageBreak/>
        <w:t xml:space="preserve">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BEDFA52" w:rsidR="00C173C3" w:rsidRDefault="00BE7E9C" w:rsidP="00E205E5">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w:t>
      </w:r>
      <w:r w:rsidR="00E205E5">
        <w:rPr>
          <w:rFonts w:ascii="Times New Roman" w:hAnsi="Times New Roman" w:cs="Times New Roman"/>
          <w:bCs/>
          <w:color w:val="252525"/>
          <w:sz w:val="24"/>
          <w:szCs w:val="24"/>
        </w:rPr>
        <w:t>should</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decide</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which</w:t>
      </w:r>
      <w:r w:rsidR="00F107B6">
        <w:rPr>
          <w:rFonts w:ascii="Times New Roman" w:hAnsi="Times New Roman" w:cs="Times New Roman"/>
          <w:bCs/>
          <w:color w:val="252525"/>
          <w:sz w:val="24"/>
          <w:szCs w:val="24"/>
        </w:rPr>
        <w:t xml:space="preserve"> signals to measure</w:t>
      </w:r>
      <w:r w:rsidR="0010296A">
        <w:rPr>
          <w:rFonts w:ascii="Times New Roman" w:hAnsi="Times New Roman" w:cs="Times New Roman"/>
          <w:bCs/>
          <w:color w:val="252525"/>
          <w:sz w:val="24"/>
          <w:szCs w:val="24"/>
        </w:rPr>
        <w:t xml:space="preserve"> to facilitate supplementary </w:t>
      </w:r>
      <w:r w:rsidR="0010296A">
        <w:rPr>
          <w:rFonts w:ascii="Times New Roman" w:hAnsi="Times New Roman" w:cs="Times New Roman"/>
          <w:bCs/>
          <w:color w:val="252525"/>
          <w:sz w:val="24"/>
          <w:szCs w:val="24"/>
        </w:rPr>
        <w:lastRenderedPageBreak/>
        <w:t xml:space="preserve">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w:t>
      </w:r>
      <w:r w:rsidR="00C67404">
        <w:rPr>
          <w:rFonts w:ascii="Times New Roman" w:hAnsi="Times New Roman" w:cs="Times New Roman"/>
          <w:bCs/>
          <w:color w:val="252525"/>
          <w:sz w:val="24"/>
          <w:szCs w:val="24"/>
        </w:rPr>
        <w:t>main product</w:t>
      </w:r>
      <w:r w:rsidR="007707E3">
        <w:rPr>
          <w:rFonts w:ascii="Times New Roman" w:hAnsi="Times New Roman" w:cs="Times New Roman"/>
          <w:bCs/>
          <w:color w:val="252525"/>
          <w:sz w:val="24"/>
          <w:szCs w:val="24"/>
        </w:rPr>
        <w:t xml:space="preserve">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w:t>
      </w:r>
      <w:r w:rsidR="00F1573F">
        <w:rPr>
          <w:rFonts w:ascii="Times New Roman" w:hAnsi="Times New Roman" w:cs="Times New Roman"/>
          <w:bCs/>
          <w:color w:val="252525"/>
          <w:sz w:val="24"/>
          <w:szCs w:val="24"/>
        </w:rPr>
        <w:t>of product</w:t>
      </w:r>
      <w:r w:rsidR="00EE7A84">
        <w:rPr>
          <w:rFonts w:ascii="Times New Roman" w:hAnsi="Times New Roman" w:cs="Times New Roman"/>
          <w:bCs/>
          <w:color w:val="252525"/>
          <w:sz w:val="24"/>
          <w:szCs w:val="24"/>
        </w:rPr>
        <w:t>.</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w:t>
      </w:r>
      <w:r w:rsidR="00311C6A">
        <w:rPr>
          <w:rFonts w:ascii="Times New Roman" w:hAnsi="Times New Roman" w:cs="Times New Roman"/>
          <w:bCs/>
          <w:color w:val="252525"/>
          <w:sz w:val="24"/>
          <w:szCs w:val="24"/>
        </w:rPr>
        <w:t>effect</w:t>
      </w:r>
      <w:r w:rsidR="006700AC">
        <w:rPr>
          <w:rFonts w:ascii="Times New Roman" w:hAnsi="Times New Roman" w:cs="Times New Roman"/>
          <w:bCs/>
          <w:color w:val="252525"/>
          <w:sz w:val="24"/>
          <w:szCs w:val="24"/>
        </w:rPr>
        <w:t>s</w:t>
      </w:r>
      <w:r w:rsidR="00311C6A">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w:t>
      </w:r>
      <w:proofErr w:type="spellStart"/>
      <w:r w:rsidR="001D085A">
        <w:rPr>
          <w:rFonts w:ascii="Times New Roman" w:hAnsi="Times New Roman" w:cs="Times New Roman"/>
          <w:bCs/>
          <w:color w:val="252525"/>
          <w:sz w:val="24"/>
          <w:szCs w:val="24"/>
        </w:rPr>
        <w:t>Kalman</w:t>
      </w:r>
      <w:proofErr w:type="spellEnd"/>
      <w:r w:rsidR="001D085A">
        <w:rPr>
          <w:rFonts w:ascii="Times New Roman" w:hAnsi="Times New Roman" w:cs="Times New Roman"/>
          <w:bCs/>
          <w:color w:val="252525"/>
          <w:sz w:val="24"/>
          <w:szCs w:val="24"/>
        </w:rPr>
        <w:t xml:space="preserve"> forward filtering backward smoothing nested within MCMC methods. </w:t>
      </w:r>
      <w:r w:rsidR="006E6688">
        <w:rPr>
          <w:rFonts w:ascii="Times New Roman" w:hAnsi="Times New Roman" w:cs="Times New Roman"/>
          <w:bCs/>
          <w:color w:val="252525"/>
          <w:sz w:val="24"/>
          <w:szCs w:val="24"/>
        </w:rPr>
        <w:t>As a result, we are able to investigate a crucial yet unexplored area – namely, the dynamic effect</w:t>
      </w:r>
      <w:r w:rsidR="00AB6DAC">
        <w:rPr>
          <w:rFonts w:ascii="Times New Roman" w:hAnsi="Times New Roman" w:cs="Times New Roman"/>
          <w:bCs/>
          <w:color w:val="252525"/>
          <w:sz w:val="24"/>
          <w:szCs w:val="24"/>
        </w:rPr>
        <w:t>s</w:t>
      </w:r>
      <w:r w:rsidR="006E6688">
        <w:rPr>
          <w:rFonts w:ascii="Times New Roman" w:hAnsi="Times New Roman" w:cs="Times New Roman"/>
          <w:bCs/>
          <w:color w:val="252525"/>
          <w:sz w:val="24"/>
          <w:szCs w:val="24"/>
        </w:rPr>
        <w:t xml:space="preserve"> of product rating and observational learning on the demand for supplementary products – and implications of these effects for best response of three actors. </w:t>
      </w:r>
    </w:p>
    <w:p w14:paraId="635D8266" w14:textId="36930B61" w:rsidR="001C7091" w:rsidRDefault="00C173C3" w:rsidP="0058205A">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1C7091">
        <w:rPr>
          <w:rFonts w:ascii="Times New Roman" w:hAnsi="Times New Roman" w:cs="Times New Roman"/>
          <w:bCs/>
          <w:color w:val="252525"/>
          <w:sz w:val="24"/>
          <w:szCs w:val="24"/>
        </w:rPr>
        <w:t xml:space="preserve">We believe that several novel findings emerge from this work. First, it supplies empirical evidence that product rating has dynamic, yet diverse, and increasing return effect on demand. Second, observational learning dynamically affects demand, more when there is uncertainty, and this effect is heterogeneous. Third, our finding shows that product rating affects demand both directly and indirectly through enhancing observational learning effectiveness. Fourth, we explained heterogeneity in the effect of product rating, and observational learning in terms of </w:t>
      </w:r>
      <w:r w:rsidR="00F80988">
        <w:rPr>
          <w:rFonts w:ascii="Times New Roman" w:hAnsi="Times New Roman" w:cs="Times New Roman"/>
          <w:bCs/>
          <w:color w:val="252525"/>
          <w:sz w:val="24"/>
          <w:szCs w:val="24"/>
        </w:rPr>
        <w:t>institutional</w:t>
      </w:r>
      <w:r w:rsidR="001C7091">
        <w:rPr>
          <w:rFonts w:ascii="Times New Roman" w:hAnsi="Times New Roman" w:cs="Times New Roman"/>
          <w:bCs/>
          <w:color w:val="252525"/>
          <w:sz w:val="24"/>
          <w:szCs w:val="24"/>
        </w:rPr>
        <w:t xml:space="preserve"> characteristics of </w:t>
      </w:r>
      <w:r w:rsidR="00D479E0">
        <w:rPr>
          <w:rFonts w:ascii="Times New Roman" w:hAnsi="Times New Roman" w:cs="Times New Roman"/>
          <w:bCs/>
          <w:color w:val="252525"/>
          <w:sz w:val="24"/>
          <w:szCs w:val="24"/>
        </w:rPr>
        <w:t>products</w:t>
      </w:r>
      <w:r w:rsidR="001C7091">
        <w:rPr>
          <w:rFonts w:ascii="Times New Roman" w:hAnsi="Times New Roman" w:cs="Times New Roman"/>
          <w:bCs/>
          <w:color w:val="252525"/>
          <w:sz w:val="24"/>
          <w:szCs w:val="24"/>
        </w:rPr>
        <w:t xml:space="preserve">, such as </w:t>
      </w:r>
      <w:r w:rsidR="00D479E0">
        <w:rPr>
          <w:rFonts w:ascii="Times New Roman" w:hAnsi="Times New Roman" w:cs="Times New Roman"/>
          <w:bCs/>
          <w:color w:val="252525"/>
          <w:sz w:val="24"/>
          <w:szCs w:val="24"/>
        </w:rPr>
        <w:t xml:space="preserve">intensity of competition in the market, measured by </w:t>
      </w:r>
      <w:r w:rsidR="001C7091">
        <w:rPr>
          <w:rFonts w:ascii="Times New Roman" w:hAnsi="Times New Roman" w:cs="Times New Roman"/>
          <w:bCs/>
          <w:color w:val="252525"/>
          <w:sz w:val="24"/>
          <w:szCs w:val="24"/>
        </w:rPr>
        <w:t xml:space="preserve">size of team </w:t>
      </w:r>
      <w:r w:rsidR="000E7609">
        <w:rPr>
          <w:rFonts w:ascii="Times New Roman" w:hAnsi="Times New Roman" w:cs="Times New Roman"/>
          <w:bCs/>
          <w:color w:val="252525"/>
          <w:sz w:val="24"/>
          <w:szCs w:val="24"/>
        </w:rPr>
        <w:t>of authors</w:t>
      </w:r>
      <w:r w:rsidR="00D479E0">
        <w:rPr>
          <w:rFonts w:ascii="Times New Roman" w:hAnsi="Times New Roman" w:cs="Times New Roman"/>
          <w:bCs/>
          <w:color w:val="252525"/>
          <w:sz w:val="24"/>
          <w:szCs w:val="24"/>
        </w:rPr>
        <w:t>,</w:t>
      </w:r>
      <w:r w:rsidR="000E7609">
        <w:rPr>
          <w:rFonts w:ascii="Times New Roman" w:hAnsi="Times New Roman" w:cs="Times New Roman"/>
          <w:bCs/>
          <w:color w:val="252525"/>
          <w:sz w:val="24"/>
          <w:szCs w:val="24"/>
        </w:rPr>
        <w:t xml:space="preserve"> and</w:t>
      </w:r>
      <w:r w:rsidR="00B2525F">
        <w:rPr>
          <w:rFonts w:ascii="Times New Roman" w:hAnsi="Times New Roman" w:cs="Times New Roman"/>
          <w:bCs/>
          <w:color w:val="252525"/>
          <w:sz w:val="24"/>
          <w:szCs w:val="24"/>
        </w:rPr>
        <w:t xml:space="preserve"> market segment size,</w:t>
      </w:r>
      <w:r w:rsidR="000E7609">
        <w:rPr>
          <w:rFonts w:ascii="Times New Roman" w:hAnsi="Times New Roman" w:cs="Times New Roman"/>
          <w:bCs/>
          <w:color w:val="252525"/>
          <w:sz w:val="24"/>
          <w:szCs w:val="24"/>
        </w:rPr>
        <w:t xml:space="preserve"> </w:t>
      </w:r>
      <w:r w:rsidR="00AE47D4">
        <w:rPr>
          <w:rFonts w:ascii="Times New Roman" w:hAnsi="Times New Roman" w:cs="Times New Roman"/>
          <w:bCs/>
          <w:color w:val="252525"/>
          <w:sz w:val="24"/>
          <w:szCs w:val="24"/>
        </w:rPr>
        <w:t>measured by</w:t>
      </w:r>
      <w:r w:rsidR="00C67F8E">
        <w:rPr>
          <w:rFonts w:ascii="Times New Roman" w:hAnsi="Times New Roman" w:cs="Times New Roman"/>
          <w:bCs/>
          <w:color w:val="252525"/>
          <w:sz w:val="24"/>
          <w:szCs w:val="24"/>
        </w:rPr>
        <w:t xml:space="preserve"> </w:t>
      </w:r>
      <w:r w:rsidR="000E7609">
        <w:rPr>
          <w:rFonts w:ascii="Times New Roman" w:hAnsi="Times New Roman" w:cs="Times New Roman"/>
          <w:bCs/>
          <w:color w:val="252525"/>
          <w:sz w:val="24"/>
          <w:szCs w:val="24"/>
        </w:rPr>
        <w:t>MS Windows</w:t>
      </w:r>
      <w:r w:rsidR="00CF2B2A">
        <w:rPr>
          <w:rFonts w:ascii="Times New Roman" w:hAnsi="Times New Roman" w:cs="Times New Roman"/>
          <w:bCs/>
          <w:color w:val="252525"/>
          <w:sz w:val="24"/>
          <w:szCs w:val="24"/>
        </w:rPr>
        <w:t xml:space="preserve"> </w:t>
      </w:r>
      <w:r w:rsidR="00836DFD">
        <w:rPr>
          <w:rFonts w:ascii="Times New Roman" w:hAnsi="Times New Roman" w:cs="Times New Roman"/>
          <w:bCs/>
          <w:color w:val="252525"/>
          <w:sz w:val="24"/>
          <w:szCs w:val="24"/>
        </w:rPr>
        <w:t>users’</w:t>
      </w:r>
      <w:r w:rsidR="00CF2B2A">
        <w:rPr>
          <w:rFonts w:ascii="Times New Roman" w:hAnsi="Times New Roman" w:cs="Times New Roman"/>
          <w:bCs/>
          <w:color w:val="252525"/>
          <w:sz w:val="24"/>
          <w:szCs w:val="24"/>
        </w:rPr>
        <w:t xml:space="preserve"> </w:t>
      </w:r>
      <w:r w:rsidR="0058205A">
        <w:rPr>
          <w:rFonts w:ascii="Times New Roman" w:hAnsi="Times New Roman" w:cs="Times New Roman"/>
          <w:bCs/>
          <w:color w:val="252525"/>
          <w:sz w:val="24"/>
          <w:szCs w:val="24"/>
        </w:rPr>
        <w:t xml:space="preserve">share of </w:t>
      </w:r>
      <w:r w:rsidR="00CF2B2A">
        <w:rPr>
          <w:rFonts w:ascii="Times New Roman" w:hAnsi="Times New Roman" w:cs="Times New Roman"/>
          <w:bCs/>
          <w:color w:val="252525"/>
          <w:sz w:val="24"/>
          <w:szCs w:val="24"/>
        </w:rPr>
        <w:t>Add-on</w:t>
      </w:r>
      <w:r w:rsidR="001C7091">
        <w:rPr>
          <w:rFonts w:ascii="Times New Roman" w:hAnsi="Times New Roman" w:cs="Times New Roman"/>
          <w:bCs/>
          <w:color w:val="252525"/>
          <w:sz w:val="24"/>
          <w:szCs w:val="24"/>
        </w:rPr>
        <w:t xml:space="preserve">. Finally, although our study focuses on the software industry, the findings underscore the value of investigating the dynamic effect of product rating, and observational learning across different products. It also suggests that if </w:t>
      </w:r>
      <w:r w:rsidR="005A13B9">
        <w:rPr>
          <w:rFonts w:ascii="Times New Roman" w:hAnsi="Times New Roman" w:cs="Times New Roman"/>
          <w:bCs/>
          <w:color w:val="252525"/>
          <w:sz w:val="24"/>
          <w:szCs w:val="24"/>
        </w:rPr>
        <w:t>those</w:t>
      </w:r>
      <w:r w:rsidR="001C7091">
        <w:rPr>
          <w:rFonts w:ascii="Times New Roman" w:hAnsi="Times New Roman" w:cs="Times New Roman"/>
          <w:bCs/>
          <w:color w:val="252525"/>
          <w:sz w:val="24"/>
          <w:szCs w:val="24"/>
        </w:rPr>
        <w:t xml:space="preserve"> effects are not </w:t>
      </w:r>
      <w:r w:rsidR="00C6515B">
        <w:rPr>
          <w:rFonts w:ascii="Times New Roman" w:hAnsi="Times New Roman" w:cs="Times New Roman"/>
          <w:bCs/>
          <w:color w:val="252525"/>
          <w:sz w:val="24"/>
          <w:szCs w:val="24"/>
        </w:rPr>
        <w:t>considered</w:t>
      </w:r>
      <w:r w:rsidR="001C7091">
        <w:rPr>
          <w:rFonts w:ascii="Times New Roman" w:hAnsi="Times New Roman" w:cs="Times New Roman"/>
          <w:bCs/>
          <w:color w:val="252525"/>
          <w:sz w:val="24"/>
          <w:szCs w:val="24"/>
        </w:rPr>
        <w:t xml:space="preserve">, the estimates </w:t>
      </w:r>
      <w:r w:rsidR="00C6515B">
        <w:rPr>
          <w:rFonts w:ascii="Times New Roman" w:hAnsi="Times New Roman" w:cs="Times New Roman"/>
          <w:bCs/>
          <w:color w:val="252525"/>
          <w:sz w:val="24"/>
          <w:szCs w:val="24"/>
        </w:rPr>
        <w:t>are</w:t>
      </w:r>
      <w:r w:rsidR="001C7091">
        <w:rPr>
          <w:rFonts w:ascii="Times New Roman" w:hAnsi="Times New Roman" w:cs="Times New Roman"/>
          <w:bCs/>
          <w:color w:val="252525"/>
          <w:sz w:val="24"/>
          <w:szCs w:val="24"/>
        </w:rPr>
        <w:t xml:space="preserve"> biased.</w:t>
      </w:r>
    </w:p>
    <w:p w14:paraId="0C6A33E5" w14:textId="70FADF82" w:rsidR="00467B5A" w:rsidRDefault="00E95C30" w:rsidP="001C709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w:t>
      </w:r>
      <w:r w:rsidR="00791CC5">
        <w:rPr>
          <w:rFonts w:ascii="Times New Roman" w:hAnsi="Times New Roman" w:cs="Times New Roman"/>
          <w:bCs/>
          <w:color w:val="252525"/>
          <w:sz w:val="24"/>
          <w:szCs w:val="24"/>
        </w:rPr>
        <w:lastRenderedPageBreak/>
        <w:t xml:space="preserve">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w:t>
      </w:r>
      <w:proofErr w:type="gramStart"/>
      <w:r>
        <w:rPr>
          <w:rFonts w:ascii="Times New Roman" w:hAnsi="Times New Roman" w:cs="Times New Roman"/>
          <w:color w:val="000000"/>
          <w:sz w:val="24"/>
          <w:szCs w:val="24"/>
        </w:rPr>
        <w:t>A new product growth model for consumer durables.</w:t>
      </w:r>
      <w:proofErr w:type="gramEnd"/>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Bandura, A. 1977.</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Social learning theory.</w:t>
      </w:r>
      <w:proofErr w:type="gramEnd"/>
      <w:r w:rsidRPr="00AE0033">
        <w:rPr>
          <w:rFonts w:ascii="Times New Roman" w:hAnsi="Times New Roman" w:cs="Times New Roman"/>
          <w:color w:val="000000"/>
          <w:sz w:val="24"/>
          <w:szCs w:val="24"/>
        </w:rPr>
        <w:t xml:space="preserve">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Banerjee, A. 1992.</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A simple model of herd behavior.</w:t>
      </w:r>
      <w:proofErr w:type="gramEnd"/>
      <w:r w:rsidRPr="00AE0033">
        <w:rPr>
          <w:rFonts w:ascii="Times New Roman" w:hAnsi="Times New Roman" w:cs="Times New Roman"/>
          <w:color w:val="000000"/>
          <w:sz w:val="24"/>
          <w:szCs w:val="24"/>
        </w:rPr>
        <w:t xml:space="preserve">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AE0033">
        <w:rPr>
          <w:rFonts w:ascii="Times New Roman" w:hAnsi="Times New Roman" w:cs="Times New Roman"/>
          <w:color w:val="000000"/>
          <w:sz w:val="24"/>
          <w:szCs w:val="24"/>
        </w:rPr>
        <w:t>Bikhchandani</w:t>
      </w:r>
      <w:proofErr w:type="spellEnd"/>
      <w:r w:rsidRPr="00AE0033">
        <w:rPr>
          <w:rFonts w:ascii="Times New Roman" w:hAnsi="Times New Roman" w:cs="Times New Roman"/>
          <w:color w:val="000000"/>
          <w:sz w:val="24"/>
          <w:szCs w:val="24"/>
        </w:rPr>
        <w:t xml:space="preserve">, S., D. </w:t>
      </w:r>
      <w:proofErr w:type="spellStart"/>
      <w:r w:rsidRPr="00AE0033">
        <w:rPr>
          <w:rFonts w:ascii="Times New Roman" w:hAnsi="Times New Roman" w:cs="Times New Roman"/>
          <w:color w:val="000000"/>
          <w:sz w:val="24"/>
          <w:szCs w:val="24"/>
        </w:rPr>
        <w:t>Hirshleifer</w:t>
      </w:r>
      <w:proofErr w:type="spellEnd"/>
      <w:r w:rsidRPr="00AE0033">
        <w:rPr>
          <w:rFonts w:ascii="Times New Roman" w:hAnsi="Times New Roman" w:cs="Times New Roman"/>
          <w:color w:val="000000"/>
          <w:sz w:val="24"/>
          <w:szCs w:val="24"/>
        </w:rPr>
        <w:t>, I. Welch.</w:t>
      </w:r>
      <w:proofErr w:type="gramEnd"/>
      <w:r w:rsidRPr="00AE0033">
        <w:rPr>
          <w:rFonts w:ascii="Times New Roman" w:hAnsi="Times New Roman" w:cs="Times New Roman"/>
          <w:color w:val="000000"/>
          <w:sz w:val="24"/>
          <w:szCs w:val="24"/>
        </w:rPr>
        <w:t xml:space="preserve">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w:t>
      </w:r>
      <w:proofErr w:type="gramEnd"/>
      <w:r w:rsidR="00AE0033" w:rsidRPr="00AE0033">
        <w:rPr>
          <w:rFonts w:ascii="Times New Roman" w:hAnsi="Times New Roman" w:cs="Times New Roman"/>
          <w:color w:val="000000"/>
          <w:sz w:val="24"/>
          <w:szCs w:val="24"/>
        </w:rPr>
        <w:t xml:space="preserve"> 2001. Herd behavior in financial markets: A Review. </w:t>
      </w:r>
      <w:proofErr w:type="gramStart"/>
      <w:r w:rsidR="00AE0033" w:rsidRPr="00AE0033">
        <w:rPr>
          <w:rFonts w:ascii="Times New Roman" w:hAnsi="Times New Roman" w:cs="Times New Roman"/>
          <w:color w:val="000000"/>
          <w:sz w:val="24"/>
          <w:szCs w:val="24"/>
        </w:rPr>
        <w:t>IMF Staff Papers.</w:t>
      </w:r>
      <w:proofErr w:type="gramEnd"/>
      <w:r w:rsidR="00AE0033" w:rsidRPr="00AE0033">
        <w:rPr>
          <w:rFonts w:ascii="Times New Roman" w:hAnsi="Times New Roman" w:cs="Times New Roman"/>
          <w:color w:val="000000"/>
          <w:sz w:val="24"/>
          <w:szCs w:val="24"/>
        </w:rPr>
        <w:t xml:space="preserve">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w:t>
      </w:r>
      <w:proofErr w:type="spellStart"/>
      <w:r>
        <w:rPr>
          <w:rFonts w:ascii="Times New Roman" w:hAnsi="Times New Roman" w:cs="Times New Roman"/>
          <w:color w:val="000000"/>
          <w:sz w:val="24"/>
          <w:szCs w:val="24"/>
        </w:rPr>
        <w:t>Reingen</w:t>
      </w:r>
      <w:proofErr w:type="spellEnd"/>
      <w:r>
        <w:rPr>
          <w:rFonts w:ascii="Times New Roman" w:hAnsi="Times New Roman" w:cs="Times New Roman"/>
          <w:color w:val="000000"/>
          <w:sz w:val="24"/>
          <w:szCs w:val="24"/>
        </w:rPr>
        <w:t xml:space="preserve">.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w:t>
      </w:r>
      <w:proofErr w:type="spellStart"/>
      <w:r w:rsidRPr="00845CA2">
        <w:rPr>
          <w:rFonts w:ascii="Times New Roman" w:hAnsi="Times New Roman" w:cs="Times New Roman"/>
          <w:color w:val="000000"/>
          <w:sz w:val="24"/>
          <w:szCs w:val="24"/>
        </w:rPr>
        <w:t>Xie</w:t>
      </w:r>
      <w:proofErr w:type="spellEnd"/>
      <w:r w:rsidRPr="00845CA2">
        <w:rPr>
          <w:rFonts w:ascii="Times New Roman" w:hAnsi="Times New Roman" w:cs="Times New Roman"/>
          <w:color w:val="000000"/>
          <w:sz w:val="24"/>
          <w:szCs w:val="24"/>
        </w:rPr>
        <w:t xml:space="preserve">. Online social interactions: A natural experiment on word of mouth versus observational learning. </w:t>
      </w:r>
      <w:proofErr w:type="gramStart"/>
      <w:r w:rsidRPr="00845CA2">
        <w:rPr>
          <w:rFonts w:ascii="Times New Roman" w:hAnsi="Times New Roman" w:cs="Times New Roman"/>
          <w:color w:val="000000"/>
          <w:sz w:val="24"/>
          <w:szCs w:val="24"/>
        </w:rPr>
        <w:t>Marketing Res. 48(2) 238-254.</w:t>
      </w:r>
      <w:proofErr w:type="gramEnd"/>
      <w:r w:rsidRPr="00845CA2">
        <w:rPr>
          <w:rFonts w:ascii="Times New Roman" w:hAnsi="Times New Roman" w:cs="Times New Roman"/>
          <w:color w:val="000000"/>
          <w:sz w:val="24"/>
          <w:szCs w:val="24"/>
        </w:rPr>
        <w:t xml:space="preserve">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 xml:space="preserve">strategy. </w:t>
      </w:r>
      <w:proofErr w:type="gramStart"/>
      <w:r w:rsidR="001F071F" w:rsidRPr="00005513">
        <w:rPr>
          <w:rFonts w:ascii="Times New Roman" w:hAnsi="Times New Roman" w:cs="Times New Roman"/>
          <w:color w:val="000000"/>
          <w:sz w:val="24"/>
          <w:szCs w:val="24"/>
        </w:rPr>
        <w:t>Marketing Sci. 24(2) 218–240.</w:t>
      </w:r>
      <w:proofErr w:type="gramEnd"/>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lastRenderedPageBreak/>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X. M. Zhang, N. </w:t>
      </w:r>
      <w:proofErr w:type="spellStart"/>
      <w:r w:rsidR="001F071F" w:rsidRPr="00005513">
        <w:rPr>
          <w:rFonts w:ascii="Times New Roman" w:hAnsi="Times New Roman" w:cs="Times New Roman"/>
          <w:color w:val="000000"/>
          <w:sz w:val="24"/>
          <w:szCs w:val="24"/>
        </w:rPr>
        <w:t>Awad</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Erdem</w:t>
      </w:r>
      <w:proofErr w:type="spellEnd"/>
      <w:r>
        <w:rPr>
          <w:rFonts w:ascii="Times New Roman" w:hAnsi="Times New Roman" w:cs="Times New Roman"/>
          <w:color w:val="000000"/>
          <w:sz w:val="24"/>
          <w:szCs w:val="24"/>
        </w:rPr>
        <w:t>, T., M. P. Keane.</w:t>
      </w:r>
      <w:proofErr w:type="gramEnd"/>
      <w:r>
        <w:rPr>
          <w:rFonts w:ascii="Times New Roman" w:hAnsi="Times New Roman" w:cs="Times New Roman"/>
          <w:color w:val="000000"/>
          <w:sz w:val="24"/>
          <w:szCs w:val="24"/>
        </w:rPr>
        <w:t xml:space="preserve"> 1996. Decision-making under uncertainty: capturing dynamic brand choice processes in turbulent consumer goods markets. </w:t>
      </w:r>
      <w:proofErr w:type="gramStart"/>
      <w:r>
        <w:rPr>
          <w:rFonts w:ascii="Times New Roman" w:hAnsi="Times New Roman" w:cs="Times New Roman"/>
          <w:color w:val="000000"/>
          <w:sz w:val="24"/>
          <w:szCs w:val="24"/>
        </w:rPr>
        <w:t>Marketing Sci. 15(1) 1-20.</w:t>
      </w:r>
      <w:proofErr w:type="gramEnd"/>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reviews. </w:t>
      </w:r>
      <w:proofErr w:type="gramStart"/>
      <w:r w:rsidRPr="00E46973">
        <w:rPr>
          <w:rFonts w:ascii="Times New Roman" w:hAnsi="Times New Roman" w:cs="Times New Roman"/>
          <w:color w:val="000000"/>
          <w:sz w:val="24"/>
          <w:szCs w:val="24"/>
        </w:rPr>
        <w:t>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Gatignon</w:t>
      </w:r>
      <w:proofErr w:type="spellEnd"/>
      <w:r>
        <w:rPr>
          <w:rFonts w:ascii="Times New Roman" w:hAnsi="Times New Roman" w:cs="Times New Roman"/>
          <w:color w:val="000000"/>
          <w:sz w:val="24"/>
          <w:szCs w:val="24"/>
        </w:rPr>
        <w:t xml:space="preserve">, H. </w:t>
      </w:r>
      <w:r w:rsidR="0060128F">
        <w:rPr>
          <w:rFonts w:ascii="Times New Roman" w:hAnsi="Times New Roman" w:cs="Times New Roman"/>
          <w:color w:val="000000"/>
          <w:sz w:val="24"/>
          <w:szCs w:val="24"/>
        </w:rPr>
        <w:t>Competition as a moderator of the effect of advertising on sales.</w:t>
      </w:r>
      <w:proofErr w:type="gramEnd"/>
      <w:r w:rsidR="0060128F">
        <w:rPr>
          <w:rFonts w:ascii="Times New Roman" w:hAnsi="Times New Roman" w:cs="Times New Roman"/>
          <w:color w:val="000000"/>
          <w:sz w:val="24"/>
          <w:szCs w:val="24"/>
        </w:rPr>
        <w:t xml:space="preserve">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35A67">
        <w:rPr>
          <w:rFonts w:ascii="Times New Roman" w:hAnsi="Times New Roman" w:cs="Times New Roman"/>
          <w:color w:val="000000"/>
          <w:sz w:val="24"/>
          <w:szCs w:val="24"/>
        </w:rPr>
        <w:t>Gelman</w:t>
      </w:r>
      <w:proofErr w:type="spellEnd"/>
      <w:r w:rsidRPr="00E35A67">
        <w:rPr>
          <w:rFonts w:ascii="Times New Roman" w:hAnsi="Times New Roman" w:cs="Times New Roman"/>
          <w:color w:val="000000"/>
          <w:sz w:val="24"/>
          <w:szCs w:val="24"/>
        </w:rPr>
        <w:t>,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proofErr w:type="gramStart"/>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w:t>
      </w:r>
      <w:proofErr w:type="gramEnd"/>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w:t>
      </w:r>
      <w:proofErr w:type="gramEnd"/>
      <w:r w:rsidR="00821CAA" w:rsidRPr="00E46973">
        <w:rPr>
          <w:rFonts w:ascii="Times New Roman" w:hAnsi="Times New Roman" w:cs="Times New Roman"/>
          <w:color w:val="000000"/>
          <w:sz w:val="24"/>
          <w:szCs w:val="24"/>
        </w:rPr>
        <w:t xml:space="preserve">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Lambkin, M., G. S. Day.</w:t>
      </w:r>
      <w:proofErr w:type="gramEnd"/>
      <w:r>
        <w:rPr>
          <w:rFonts w:ascii="Times New Roman" w:hAnsi="Times New Roman" w:cs="Times New Roman"/>
          <w:color w:val="000000"/>
          <w:sz w:val="24"/>
          <w:szCs w:val="24"/>
        </w:rPr>
        <w:t xml:space="preserve">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Lattin</w:t>
      </w:r>
      <w:proofErr w:type="spellEnd"/>
      <w:r>
        <w:rPr>
          <w:rFonts w:ascii="Times New Roman" w:hAnsi="Times New Roman" w:cs="Times New Roman"/>
          <w:color w:val="000000"/>
          <w:sz w:val="24"/>
          <w:szCs w:val="24"/>
        </w:rPr>
        <w:t xml:space="preserve">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w:t>
      </w:r>
      <w:proofErr w:type="gramStart"/>
      <w:r w:rsidRPr="00CB0FB2">
        <w:rPr>
          <w:rFonts w:ascii="Times New Roman" w:hAnsi="Times New Roman" w:cs="Times New Roman"/>
          <w:color w:val="000000"/>
          <w:sz w:val="24"/>
          <w:szCs w:val="24"/>
        </w:rPr>
        <w:t>27(4) 629–67.</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proofErr w:type="gramEnd"/>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w:t>
      </w:r>
      <w:proofErr w:type="spellStart"/>
      <w:r w:rsidR="00AA62BC"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Money, R. B., M. C. </w:t>
      </w:r>
      <w:proofErr w:type="spellStart"/>
      <w:r>
        <w:rPr>
          <w:rFonts w:ascii="Times New Roman" w:hAnsi="Times New Roman" w:cs="Times New Roman"/>
          <w:color w:val="000000"/>
          <w:sz w:val="24"/>
          <w:szCs w:val="24"/>
        </w:rPr>
        <w:t>Gilly</w:t>
      </w:r>
      <w:proofErr w:type="spellEnd"/>
      <w:r>
        <w:rPr>
          <w:rFonts w:ascii="Times New Roman" w:hAnsi="Times New Roman" w:cs="Times New Roman"/>
          <w:color w:val="000000"/>
          <w:sz w:val="24"/>
          <w:szCs w:val="24"/>
        </w:rPr>
        <w:t>, J. L. Graham.</w:t>
      </w:r>
      <w:proofErr w:type="gramEnd"/>
      <w:r>
        <w:rPr>
          <w:rFonts w:ascii="Times New Roman" w:hAnsi="Times New Roman" w:cs="Times New Roman"/>
          <w:color w:val="000000"/>
          <w:sz w:val="24"/>
          <w:szCs w:val="24"/>
        </w:rPr>
        <w:t xml:space="preserve">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Nerlove</w:t>
      </w:r>
      <w:proofErr w:type="spellEnd"/>
      <w:r>
        <w:rPr>
          <w:rFonts w:ascii="Times New Roman" w:hAnsi="Times New Roman" w:cs="Times New Roman"/>
          <w:color w:val="000000"/>
          <w:sz w:val="24"/>
          <w:szCs w:val="24"/>
        </w:rPr>
        <w:t xml:space="preser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w:t>
      </w:r>
      <w:proofErr w:type="gramStart"/>
      <w:r w:rsidR="00B73EBD" w:rsidRPr="00B73EBD">
        <w:rPr>
          <w:rFonts w:ascii="Times New Roman" w:hAnsi="Times New Roman" w:cs="Times New Roman"/>
          <w:color w:val="000000"/>
          <w:sz w:val="24"/>
          <w:szCs w:val="24"/>
        </w:rPr>
        <w:t>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w:t>
      </w:r>
      <w:proofErr w:type="gramEnd"/>
      <w:r w:rsidR="00B73EBD" w:rsidRPr="00B73EBD">
        <w:rPr>
          <w:rFonts w:ascii="Times New Roman" w:hAnsi="Times New Roman" w:cs="Times New Roman"/>
          <w:color w:val="000000"/>
          <w:sz w:val="24"/>
          <w:szCs w:val="24"/>
        </w:rPr>
        <w:t xml:space="preserve">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proofErr w:type="spellStart"/>
      <w:proofErr w:type="gramStart"/>
      <w:r w:rsidR="00DF58D7">
        <w:rPr>
          <w:rFonts w:ascii="Times New Roman" w:hAnsi="Times New Roman" w:cs="Times New Roman"/>
          <w:color w:val="000000"/>
          <w:sz w:val="24"/>
          <w:szCs w:val="24"/>
        </w:rPr>
        <w:t>Economica</w:t>
      </w:r>
      <w:proofErr w:type="spellEnd"/>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roofErr w:type="gramEnd"/>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w:t>
      </w:r>
      <w:proofErr w:type="gramStart"/>
      <w:r w:rsidR="00791D84">
        <w:rPr>
          <w:rFonts w:ascii="Times New Roman" w:hAnsi="Times New Roman" w:cs="Times New Roman"/>
          <w:color w:val="000000"/>
          <w:sz w:val="24"/>
          <w:szCs w:val="24"/>
        </w:rPr>
        <w:t>Business History.</w:t>
      </w:r>
      <w:proofErr w:type="gramEnd"/>
      <w:r w:rsidR="00791D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w:t>
      </w:r>
      <w:proofErr w:type="gramEnd"/>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 xml:space="preserve">Dynamic Models. New </w:t>
      </w:r>
      <w:proofErr w:type="spellStart"/>
      <w:r w:rsidRPr="00F96FED">
        <w:rPr>
          <w:rFonts w:ascii="Times New Roman" w:hAnsi="Times New Roman" w:cs="Times New Roman"/>
          <w:color w:val="000000"/>
          <w:sz w:val="24"/>
          <w:szCs w:val="24"/>
        </w:rPr>
        <w:t>York</w:t>
      </w:r>
      <w:proofErr w:type="gramStart"/>
      <w:r w:rsidRPr="00F96FED">
        <w:rPr>
          <w:rFonts w:ascii="Times New Roman" w:hAnsi="Times New Roman" w:cs="Times New Roman"/>
          <w:color w:val="000000"/>
          <w:sz w:val="24"/>
          <w:szCs w:val="24"/>
        </w:rPr>
        <w:t>:Springer</w:t>
      </w:r>
      <w:proofErr w:type="gramEnd"/>
      <w:r w:rsidRPr="00F96FED">
        <w:rPr>
          <w:rFonts w:ascii="Times New Roman" w:hAnsi="Times New Roman" w:cs="Times New Roman"/>
          <w:color w:val="000000"/>
          <w:sz w:val="24"/>
          <w:szCs w:val="24"/>
        </w:rPr>
        <w:t>-Verlag</w:t>
      </w:r>
      <w:proofErr w:type="spellEnd"/>
      <w:r w:rsidRPr="00F96FED">
        <w:rPr>
          <w:rFonts w:ascii="Times New Roman" w:hAnsi="Times New Roman" w:cs="Times New Roman"/>
          <w:color w:val="000000"/>
          <w:sz w:val="24"/>
          <w:szCs w:val="24"/>
        </w:rPr>
        <w:t>.</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2009. The impact of online user reviews on hotel room sales. </w:t>
      </w:r>
      <w:proofErr w:type="gramStart"/>
      <w:r>
        <w:rPr>
          <w:rFonts w:ascii="Times New Roman" w:hAnsi="Times New Roman" w:cs="Times New Roman"/>
          <w:color w:val="000000"/>
          <w:sz w:val="24"/>
          <w:szCs w:val="24"/>
        </w:rPr>
        <w:t>Inter. J. Hospitality Management.</w:t>
      </w:r>
      <w:proofErr w:type="gramEnd"/>
      <w:r>
        <w:rPr>
          <w:rFonts w:ascii="Times New Roman" w:hAnsi="Times New Roman" w:cs="Times New Roman"/>
          <w:color w:val="000000"/>
          <w:sz w:val="24"/>
          <w:szCs w:val="24"/>
        </w:rPr>
        <w:t xml:space="preserve">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 xml:space="preserve">Zhang J. 2010. The sound of silence: observational learning in the U.S. kidney market. </w:t>
      </w:r>
      <w:proofErr w:type="gramStart"/>
      <w:r w:rsidRPr="00EA74BD">
        <w:rPr>
          <w:rFonts w:ascii="Times New Roman" w:hAnsi="Times New Roman" w:cs="Times New Roman"/>
          <w:color w:val="000000"/>
          <w:sz w:val="24"/>
          <w:szCs w:val="24"/>
        </w:rPr>
        <w:t>Marketing Sci. 29(2) 315-335.</w:t>
      </w:r>
      <w:proofErr w:type="gramEnd"/>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2D6C806B" w:rsidR="00897394" w:rsidRDefault="00897394" w:rsidP="0094444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This appendix reviews the posterior sampling algorithm. The sampling that we present is direct application of DLM theory (West and Harrison 1997) and Gibbs sampling (</w:t>
      </w:r>
      <w:proofErr w:type="spellStart"/>
      <w:r>
        <w:rPr>
          <w:rFonts w:ascii="Times New Roman" w:hAnsi="Times New Roman" w:cs="Times New Roman"/>
          <w:bCs/>
          <w:color w:val="252525"/>
        </w:rPr>
        <w:t>Gelman</w:t>
      </w:r>
      <w:proofErr w:type="spellEnd"/>
      <w:r>
        <w:rPr>
          <w:rFonts w:ascii="Times New Roman" w:hAnsi="Times New Roman" w:cs="Times New Roman"/>
          <w:bCs/>
          <w:color w:val="252525"/>
        </w:rPr>
        <w:t xml:space="preserve">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39716737"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39716738"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39716739"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w:t>
      </w:r>
      <w:r w:rsidR="00944449">
        <w:rPr>
          <w:rFonts w:ascii="Times New Roman" w:hAnsi="Times New Roman" w:cs="Times New Roman"/>
          <w:bCs/>
          <w:color w:val="252525"/>
        </w:rPr>
        <w:t>estimate</w:t>
      </w:r>
      <w:r>
        <w:rPr>
          <w:rFonts w:ascii="Times New Roman" w:hAnsi="Times New Roman" w:cs="Times New Roman"/>
          <w:bCs/>
          <w:color w:val="252525"/>
        </w:rPr>
        <w:t xml:space="preserve">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39716740"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 xml:space="preserve">Recall that we also explain individual level transition parameters with </w:t>
      </w:r>
      <w:proofErr w:type="spellStart"/>
      <w:r>
        <w:rPr>
          <w:rFonts w:ascii="Times New Roman" w:hAnsi="Times New Roman" w:cs="Times New Roman"/>
          <w:bCs/>
          <w:color w:val="252525"/>
        </w:rPr>
        <w:t>hyperparameters</w:t>
      </w:r>
      <w:proofErr w:type="spellEnd"/>
      <w:r>
        <w:rPr>
          <w:rFonts w:ascii="Times New Roman" w:hAnsi="Times New Roman" w:cs="Times New Roman"/>
          <w:bCs/>
          <w:color w:val="252525"/>
        </w:rPr>
        <w:t xml:space="preserve">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39716741"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39716742"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39716743"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39716744"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proofErr w:type="gramStart"/>
      <w:r>
        <w:rPr>
          <w:rFonts w:ascii="Times New Roman" w:hAnsi="Times New Roman" w:cs="Times New Roman"/>
          <w:b/>
          <w:color w:val="252525"/>
        </w:rPr>
        <w:t>Forward Filtering</w:t>
      </w:r>
      <w:r>
        <w:rPr>
          <w:rFonts w:ascii="Times New Roman" w:hAnsi="Times New Roman" w:cs="Times New Roman"/>
          <w:bCs/>
          <w:color w:val="252525"/>
        </w:rPr>
        <w:t>.</w:t>
      </w:r>
      <w:proofErr w:type="gramEnd"/>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39716745"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39716746"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39716747"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39716748"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39716749"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lastRenderedPageBreak/>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39716750"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39716751"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39716752"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Prior one-step-ahead forecast distribution</w:t>
      </w:r>
      <w:proofErr w:type="gramStart"/>
      <w:r>
        <w:rPr>
          <w:rFonts w:ascii="Times New Roman" w:hAnsi="Times New Roman" w:cs="Times New Roman"/>
          <w:bCs/>
          <w:color w:val="252525"/>
        </w:rPr>
        <w:t xml:space="preserve">: </w:t>
      </w:r>
      <w:proofErr w:type="gramEnd"/>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39716753"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39716754"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39716755"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39716756"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39716757"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39716758"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39716759"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39716760" r:id="rId126"/>
        </w:object>
      </w:r>
      <w:proofErr w:type="gramStart"/>
      <w:r w:rsidRPr="008C5EE4">
        <w:rPr>
          <w:rFonts w:ascii="Times New Roman" w:hAnsi="Times New Roman" w:cs="Times New Roman"/>
          <w:bCs/>
          <w:color w:val="252525"/>
        </w:rPr>
        <w:t>,</w:t>
      </w:r>
      <w:proofErr w:type="gramEnd"/>
      <w:r w:rsidRPr="008C5EE4">
        <w:rPr>
          <w:rFonts w:ascii="Times New Roman" w:hAnsi="Times New Roman" w:cs="Times New Roman"/>
          <w:bCs/>
          <w:color w:val="252525"/>
        </w:rPr>
        <w:t xml:space="preserve">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39716761"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proofErr w:type="gramStart"/>
      <w:r>
        <w:rPr>
          <w:rFonts w:ascii="Times New Roman" w:hAnsi="Times New Roman" w:cs="Times New Roman"/>
          <w:b/>
          <w:color w:val="252525"/>
        </w:rPr>
        <w:t>Backward Smoothing</w:t>
      </w:r>
      <w:r>
        <w:rPr>
          <w:rFonts w:ascii="Times New Roman" w:hAnsi="Times New Roman" w:cs="Times New Roman"/>
          <w:bCs/>
          <w:color w:val="252525"/>
        </w:rPr>
        <w:t>.</w:t>
      </w:r>
      <w:proofErr w:type="gramEnd"/>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39716762"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39716763"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39716764"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proofErr w:type="gramStart"/>
      <w:r>
        <w:rPr>
          <w:rFonts w:ascii="Times New Roman" w:hAnsi="Times New Roman" w:cs="Times New Roman"/>
          <w:bCs/>
          <w:color w:val="252525"/>
          <w:sz w:val="24"/>
          <w:szCs w:val="24"/>
        </w:rPr>
        <w:t>where</w:t>
      </w:r>
      <w:proofErr w:type="gramEnd"/>
      <w:r>
        <w:rPr>
          <w:rFonts w:ascii="Times New Roman" w:hAnsi="Times New Roman" w:cs="Times New Roman"/>
          <w:bCs/>
          <w:color w:val="252525"/>
          <w:sz w:val="24"/>
          <w:szCs w:val="24"/>
        </w:rPr>
        <w:t xml:space="preserv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39716765"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39716766"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39716767"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39716768"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39716769"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39716770"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w:t>
      </w:r>
      <w:proofErr w:type="gramStart"/>
      <w:r>
        <w:rPr>
          <w:rFonts w:ascii="Times New Roman" w:hAnsi="Times New Roman" w:cs="Times New Roman"/>
          <w:b/>
          <w:color w:val="252525"/>
          <w:sz w:val="24"/>
          <w:szCs w:val="24"/>
        </w:rPr>
        <w:t>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39716771" r:id="rId148"/>
        </w:object>
      </w:r>
      <w:r>
        <w:t>.</w:t>
      </w:r>
      <w:proofErr w:type="gramEnd"/>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39716772" r:id="rId150"/>
        </w:object>
      </w:r>
      <w:r>
        <w:rPr>
          <w:rFonts w:ascii="Times New Roman" w:hAnsi="Times New Roman" w:cs="Times New Roman"/>
          <w:bCs/>
          <w:color w:val="252525"/>
          <w:sz w:val="24"/>
          <w:szCs w:val="24"/>
        </w:rPr>
        <w:t>:</w:t>
      </w:r>
    </w:p>
    <w:p w14:paraId="06666A53" w14:textId="7D629F03" w:rsidR="00897394" w:rsidRDefault="00897394" w:rsidP="00944449">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proofErr w:type="gramStart"/>
      <w:r>
        <w:rPr>
          <w:rFonts w:ascii="Times New Roman" w:hAnsi="Times New Roman" w:cs="Times New Roman"/>
          <w:bCs/>
          <w:color w:val="252525"/>
          <w:sz w:val="24"/>
          <w:szCs w:val="24"/>
        </w:rPr>
        <w:t>Step 1.</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39716773"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the moments</w:t>
      </w:r>
      <w:r w:rsidR="00944449">
        <w:rPr>
          <w:rFonts w:ascii="Times New Roman" w:hAnsi="Times New Roman" w:cs="Times New Roman"/>
          <w:bCs/>
          <w:color w:val="252525"/>
          <w:sz w:val="24"/>
          <w:szCs w:val="24"/>
        </w:rPr>
        <w:t xml:space="preserve">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39716774" r:id="rId154"/>
        </w:object>
      </w:r>
      <w:r w:rsidR="00944449">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39716775"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2.</w:t>
      </w:r>
      <w:proofErr w:type="gramEnd"/>
      <w:r>
        <w:rPr>
          <w:rFonts w:ascii="Times New Roman" w:hAnsi="Times New Roman" w:cs="Times New Roman"/>
          <w:bCs/>
          <w:color w:val="252525"/>
          <w:sz w:val="24"/>
          <w:szCs w:val="24"/>
        </w:rPr>
        <w:t xml:space="preserve">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39716776"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39716777"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39716778"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3.</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39716779"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39716780"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39716781"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39716782"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39716783"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39716784"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(1) and (2) simplify to a linear multivariate system with individual level </w:t>
      </w:r>
      <w:proofErr w:type="spellStart"/>
      <w:r>
        <w:rPr>
          <w:rFonts w:ascii="Times New Roman" w:hAnsi="Times New Roman" w:cs="Times New Roman"/>
          <w:bCs/>
          <w:color w:val="252525"/>
          <w:sz w:val="24"/>
          <w:szCs w:val="24"/>
        </w:rPr>
        <w:t>hyperparameters</w:t>
      </w:r>
      <w:proofErr w:type="spellEnd"/>
      <w:r>
        <w:rPr>
          <w:rFonts w:ascii="Times New Roman" w:hAnsi="Times New Roman" w:cs="Times New Roman"/>
          <w:bCs/>
          <w:color w:val="252525"/>
          <w:sz w:val="24"/>
          <w:szCs w:val="24"/>
        </w:rPr>
        <w:t xml:space="preserve">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39716785"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39716786"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39716787"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39716788"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39716789"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39716790"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39716791"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39716792"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39716793"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39716794"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39716795"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39716796" r:id="rId194"/>
        </w:object>
      </w:r>
      <w:r w:rsidRPr="006B2DB3">
        <w:rPr>
          <w:rFonts w:ascii="Times New Roman" w:hAnsi="Times New Roman" w:cs="Times New Roman"/>
          <w:bCs/>
          <w:color w:val="252525"/>
          <w:sz w:val="24"/>
          <w:szCs w:val="24"/>
        </w:rPr>
        <w:t xml:space="preserve">and variance </w:t>
      </w:r>
      <w:r w:rsidRPr="006B2DB3">
        <w:rPr>
          <w:rFonts w:ascii="Times New Roman" w:hAnsi="Times New Roman" w:cs="Times New Roman"/>
          <w:bCs/>
          <w:color w:val="252525"/>
          <w:sz w:val="24"/>
          <w:szCs w:val="24"/>
        </w:rPr>
        <w:lastRenderedPageBreak/>
        <w:t>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39716797"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39716798"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39716799"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39716800"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39716801"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39716802"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39716803"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w:t>
      </w:r>
      <w:proofErr w:type="gramStart"/>
      <w:r w:rsidR="00AA55D1">
        <w:rPr>
          <w:sz w:val="20"/>
          <w:szCs w:val="20"/>
        </w:rPr>
        <w:t xml:space="preserve">and </w:t>
      </w:r>
      <w:r w:rsidR="00E10231">
        <w:rPr>
          <w:sz w:val="20"/>
          <w:szCs w:val="20"/>
        </w:rPr>
        <w:t xml:space="preserve"> observational</w:t>
      </w:r>
      <w:proofErr w:type="gramEnd"/>
      <w:r w:rsidR="00E10231">
        <w:rPr>
          <w:sz w:val="20"/>
          <w:szCs w:val="20"/>
        </w:rPr>
        <w:t xml:space="preserve">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proofErr w:type="spellStart"/>
            <w:r w:rsidRPr="00AA230F">
              <w:rPr>
                <w:rFonts w:ascii="Times New Roman" w:hAnsi="Times New Roman" w:cs="Times New Roman"/>
                <w:color w:val="252525"/>
                <w:sz w:val="22"/>
                <w:szCs w:val="22"/>
              </w:rPr>
              <w:t>Bikhchandani</w:t>
            </w:r>
            <w:proofErr w:type="spellEnd"/>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proofErr w:type="spellStart"/>
            <w:r>
              <w:rPr>
                <w:rFonts w:ascii="Times New Roman" w:hAnsi="Times New Roman" w:cs="Times New Roman"/>
                <w:color w:val="252525"/>
                <w:sz w:val="22"/>
                <w:szCs w:val="22"/>
              </w:rPr>
              <w:t>Bikhchandani</w:t>
            </w:r>
            <w:proofErr w:type="spellEnd"/>
            <w:r>
              <w:rPr>
                <w:rFonts w:ascii="Times New Roman" w:hAnsi="Times New Roman" w:cs="Times New Roman"/>
                <w:color w:val="252525"/>
                <w:sz w:val="22"/>
                <w:szCs w:val="22"/>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2</w:t>
      </w:r>
      <w:r w:rsidR="00B93D8A">
        <w:rPr>
          <w:noProof/>
        </w:rP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39716804"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4F2CCD27" w:rsidR="005F78ED" w:rsidRPr="00D32683" w:rsidRDefault="005F78ED" w:rsidP="001B6468">
            <w:pPr>
              <w:pStyle w:val="Default"/>
              <w:jc w:val="both"/>
            </w:pPr>
            <w:r w:rsidRPr="00D32683">
              <w:rPr>
                <w:rFonts w:ascii="Times New Roman" w:hAnsi="Times New Roman" w:cs="Times New Roman"/>
                <w:bCs/>
                <w:color w:val="252525"/>
              </w:rPr>
              <w:t xml:space="preserve">Vector that includes one for intercept and share of </w:t>
            </w:r>
            <w:r w:rsidR="001B6468">
              <w:rPr>
                <w:rFonts w:ascii="Times New Roman" w:hAnsi="Times New Roman" w:cs="Times New Roman"/>
                <w:bCs/>
                <w:color w:val="252525"/>
              </w:rPr>
              <w:t>MS W</w:t>
            </w:r>
            <w:r w:rsidRPr="00D32683">
              <w:rPr>
                <w:rFonts w:ascii="Times New Roman" w:hAnsi="Times New Roman" w:cs="Times New Roman"/>
                <w:bCs/>
                <w:color w:val="252525"/>
              </w:rPr>
              <w:t>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28" type="#_x0000_t75" style="width:19.25pt;height:18.4pt" o:ole="">
                  <v:imagedata r:id="rId211" o:title=""/>
                </v:shape>
                <o:OLEObject Type="Embed" ProgID="Equation.3" ShapeID="_x0000_i1128" DrawAspect="Content" ObjectID="_1439716805"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18205C05"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w:t>
            </w:r>
            <w:r w:rsidR="0040204A">
              <w:rPr>
                <w:rFonts w:ascii="Times New Roman" w:hAnsi="Times New Roman" w:cs="Times New Roman"/>
                <w:bCs/>
                <w:color w:val="252525"/>
              </w:rPr>
              <w:t xml:space="preserve">that </w:t>
            </w:r>
            <w:r w:rsidRPr="00D32683">
              <w:rPr>
                <w:rFonts w:ascii="Times New Roman" w:hAnsi="Times New Roman" w:cs="Times New Roman"/>
                <w:bCs/>
                <w:color w:val="252525"/>
              </w:rPr>
              <w:t xml:space="preserve">includes one for intercept and variance of rating </w:t>
            </w:r>
            <w:r w:rsidR="008E0E46">
              <w:rPr>
                <w:rFonts w:ascii="Times New Roman" w:hAnsi="Times New Roman" w:cs="Times New Roman"/>
                <w:bCs/>
                <w:color w:val="252525"/>
              </w:rPr>
              <w:t xml:space="preserve">at steady state </w:t>
            </w:r>
            <w:r w:rsidRPr="00D32683">
              <w:rPr>
                <w:rFonts w:ascii="Times New Roman" w:hAnsi="Times New Roman" w:cs="Times New Roman"/>
                <w:bCs/>
                <w:color w:val="252525"/>
              </w:rPr>
              <w:t xml:space="preserve">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9" type="#_x0000_t75" style="width:19.25pt;height:18.4pt" o:ole="">
                  <v:imagedata r:id="rId213" o:title=""/>
                </v:shape>
                <o:OLEObject Type="Embed" ProgID="Equation.3" ShapeID="_x0000_i1129" DrawAspect="Content" ObjectID="_1439716806" r:id="rId214"/>
              </w:object>
            </w:r>
            <w:r w:rsidRPr="00D32683">
              <w:t xml:space="preserve">, </w:t>
            </w:r>
            <w:r w:rsidRPr="00D32683">
              <w:rPr>
                <w:position w:val="-12"/>
              </w:rPr>
              <w:object w:dxaOrig="380" w:dyaOrig="360" w14:anchorId="5B1754D7">
                <v:shape id="_x0000_i1130" type="#_x0000_t75" style="width:19.25pt;height:18.4pt" o:ole="">
                  <v:imagedata r:id="rId215" o:title=""/>
                </v:shape>
                <o:OLEObject Type="Embed" ProgID="Equation.3" ShapeID="_x0000_i1130" DrawAspect="Content" ObjectID="_1439716807"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69BCB6C2" w:rsidR="00F52381" w:rsidRPr="00D32683" w:rsidRDefault="00F52381" w:rsidP="0040204A">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w:t>
            </w:r>
            <w:r w:rsidR="0040204A">
              <w:rPr>
                <w:rFonts w:ascii="Times New Roman" w:hAnsi="Times New Roman" w:cs="Times New Roman"/>
                <w:bCs/>
                <w:color w:val="252525"/>
              </w:rPr>
              <w:t xml:space="preserve"> </w:t>
            </w:r>
            <w:r w:rsidRPr="00D32683">
              <w:rPr>
                <w:rFonts w:ascii="Times New Roman" w:hAnsi="Times New Roman" w:cs="Times New Roman"/>
                <w:bCs/>
                <w:color w:val="252525"/>
              </w:rPr>
              <w:t xml:space="preserve">includes one for intercept and </w:t>
            </w:r>
            <w:r w:rsidR="008B39E6">
              <w:rPr>
                <w:rFonts w:ascii="Times New Roman" w:hAnsi="Times New Roman" w:cs="Times New Roman"/>
                <w:bCs/>
                <w:color w:val="252525"/>
              </w:rPr>
              <w:t>author team size</w:t>
            </w:r>
            <w:r w:rsidRPr="00D32683">
              <w:rPr>
                <w:rFonts w:ascii="Times New Roman" w:hAnsi="Times New Roman" w:cs="Times New Roman"/>
                <w:bCs/>
                <w:color w:val="252525"/>
              </w:rPr>
              <w:t xml:space="preserve">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1" type="#_x0000_t75" style="width:19.25pt;height:18.4pt" o:ole="">
                  <v:imagedata r:id="rId217" o:title=""/>
                </v:shape>
                <o:OLEObject Type="Embed" ProgID="Equation.3" ShapeID="_x0000_i1131" DrawAspect="Content" ObjectID="_1439716808"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EDDEA10" w:rsidR="00F52381" w:rsidRPr="00D32683" w:rsidRDefault="00F52381" w:rsidP="00291066">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291066">
              <w:rPr>
                <w:rFonts w:ascii="Times New Roman" w:hAnsi="Times New Roman" w:cs="Times New Roman"/>
                <w:bCs/>
                <w:color w:val="252525"/>
              </w:rPr>
              <w:t xml:space="preserve">number of users of add-ons </w:t>
            </w:r>
            <w:r w:rsidR="008B2CFE">
              <w:rPr>
                <w:rFonts w:ascii="Times New Roman" w:hAnsi="Times New Roman" w:cs="Times New Roman"/>
                <w:bCs/>
                <w:color w:val="252525"/>
              </w:rPr>
              <w:t xml:space="preserve">that customers </w:t>
            </w:r>
            <w:r w:rsidR="00291066">
              <w:rPr>
                <w:rFonts w:ascii="Times New Roman" w:hAnsi="Times New Roman" w:cs="Times New Roman"/>
                <w:bCs/>
                <w:color w:val="252525"/>
              </w:rPr>
              <w:t>used</w:t>
            </w:r>
            <w:r w:rsidR="0025477E">
              <w:rPr>
                <w:rFonts w:ascii="Times New Roman" w:hAnsi="Times New Roman" w:cs="Times New Roman"/>
                <w:bCs/>
                <w:color w:val="252525"/>
              </w:rPr>
              <w:t xml:space="preserve"> more</w:t>
            </w:r>
            <w:r w:rsidR="00291066">
              <w:rPr>
                <w:rFonts w:ascii="Times New Roman" w:hAnsi="Times New Roman" w:cs="Times New Roman"/>
                <w:bCs/>
                <w:color w:val="252525"/>
              </w:rPr>
              <w:t xml:space="preserve"> with current add-on</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2" type="#_x0000_t75" style="width:19.25pt;height:18.4pt" o:ole="">
                  <v:imagedata r:id="rId219" o:title=""/>
                </v:shape>
                <o:OLEObject Type="Embed" ProgID="Equation.3" ShapeID="_x0000_i1132" DrawAspect="Content" ObjectID="_1439716809"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02F7B65E" w:rsidR="00F52381" w:rsidRPr="00D32683" w:rsidRDefault="00F52381" w:rsidP="006C28DD">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CE02EE">
              <w:rPr>
                <w:rFonts w:ascii="Times New Roman" w:hAnsi="Times New Roman" w:cs="Times New Roman"/>
                <w:bCs/>
                <w:color w:val="252525"/>
              </w:rPr>
              <w:t xml:space="preserve">number of follower of collections that </w:t>
            </w:r>
            <w:r w:rsidR="006C28DD">
              <w:rPr>
                <w:rFonts w:ascii="Times New Roman" w:hAnsi="Times New Roman" w:cs="Times New Roman"/>
                <w:bCs/>
                <w:color w:val="252525"/>
              </w:rPr>
              <w:t>include add-on</w:t>
            </w:r>
            <w:r w:rsidRPr="00D32683">
              <w:rPr>
                <w:rFonts w:ascii="Times New Roman" w:hAnsi="Times New Roman" w:cs="Times New Roman"/>
                <w:bCs/>
                <w:color w:val="252525"/>
              </w:rPr>
              <w:t xml:space="preserve">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3" type="#_x0000_t75" style="width:19.25pt;height:18.4pt" o:ole="">
                  <v:imagedata r:id="rId221" o:title=""/>
                </v:shape>
                <o:OLEObject Type="Embed" ProgID="Equation.3" ShapeID="_x0000_i1133" DrawAspect="Content" ObjectID="_1439716810"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5121430B" w:rsidR="00F52381" w:rsidRPr="00D32683" w:rsidRDefault="00F52381" w:rsidP="00733A1B">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 xml:space="preserve">dummy variable of </w:t>
            </w:r>
            <w:r w:rsidR="00DA3199">
              <w:rPr>
                <w:rFonts w:ascii="Times New Roman" w:hAnsi="Times New Roman" w:cs="Times New Roman"/>
                <w:bCs/>
                <w:color w:val="252525"/>
              </w:rPr>
              <w:t>photo and music</w:t>
            </w:r>
            <w:r w:rsidR="0098493C" w:rsidRPr="00D32683">
              <w:rPr>
                <w:rFonts w:ascii="Times New Roman" w:hAnsi="Times New Roman" w:cs="Times New Roman"/>
                <w:bCs/>
                <w:color w:val="252525"/>
              </w:rPr>
              <w:t xml:space="preserve">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 xml:space="preserve">weekend </w:t>
            </w:r>
          </w:p>
        </w:tc>
      </w:tr>
    </w:tbl>
    <w:p w14:paraId="4F85A3C5" w14:textId="77777777" w:rsidR="00AB5FF9" w:rsidRDefault="00AB5FF9" w:rsidP="00AB5FF9">
      <w:pPr>
        <w:pStyle w:val="Caption"/>
        <w:keepNext/>
        <w:jc w:val="center"/>
      </w:pPr>
      <w:r>
        <w:lastRenderedPageBreak/>
        <w:t xml:space="preserve">Figure </w:t>
      </w:r>
      <w:r w:rsidR="00B93D8A">
        <w:fldChar w:fldCharType="begin"/>
      </w:r>
      <w:r w:rsidR="00B93D8A">
        <w:instrText xml:space="preserve"> SEQ Figure \* ARABIC </w:instrText>
      </w:r>
      <w:r w:rsidR="00B93D8A">
        <w:fldChar w:fldCharType="separate"/>
      </w:r>
      <w:r w:rsidR="006C06CC">
        <w:rPr>
          <w:noProof/>
        </w:rPr>
        <w:t>1</w:t>
      </w:r>
      <w:r w:rsidR="00B93D8A">
        <w:rPr>
          <w:noProof/>
        </w:rP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rsidR="00B93D8A">
        <w:fldChar w:fldCharType="begin"/>
      </w:r>
      <w:r w:rsidR="00B93D8A">
        <w:instrText xml:space="preserve"> SEQ Figure \* ARABIC </w:instrText>
      </w:r>
      <w:r w:rsidR="00B93D8A">
        <w:fldChar w:fldCharType="separate"/>
      </w:r>
      <w:r w:rsidR="006C06CC">
        <w:rPr>
          <w:noProof/>
        </w:rPr>
        <w:t>2</w:t>
      </w:r>
      <w:r w:rsidR="00B93D8A">
        <w:rPr>
          <w:noProof/>
        </w:rP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rsidR="00B93D8A">
        <w:fldChar w:fldCharType="begin"/>
      </w:r>
      <w:r w:rsidR="00B93D8A">
        <w:instrText xml:space="preserve"> SEQ Figure \* ARABIC </w:instrText>
      </w:r>
      <w:r w:rsidR="00B93D8A">
        <w:fldChar w:fldCharType="separate"/>
      </w:r>
      <w:r w:rsidR="006C06CC">
        <w:rPr>
          <w:noProof/>
        </w:rPr>
        <w:t>3</w:t>
      </w:r>
      <w:r w:rsidR="00B93D8A">
        <w:rPr>
          <w:noProof/>
        </w:rP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rsidR="00B93D8A">
        <w:fldChar w:fldCharType="begin"/>
      </w:r>
      <w:r w:rsidR="00B93D8A">
        <w:instrText xml:space="preserve"> SEQ Figure \* ARABIC </w:instrText>
      </w:r>
      <w:r w:rsidR="00B93D8A">
        <w:fldChar w:fldCharType="separate"/>
      </w:r>
      <w:r w:rsidR="006C06CC">
        <w:rPr>
          <w:noProof/>
        </w:rPr>
        <w:t>4</w:t>
      </w:r>
      <w:r w:rsidR="00B93D8A">
        <w:rPr>
          <w:noProof/>
        </w:rP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4</w:t>
      </w:r>
      <w:r w:rsidR="00B93D8A">
        <w:rPr>
          <w:noProof/>
        </w:rPr>
        <w:fldChar w:fldCharType="end"/>
      </w:r>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4" type="#_x0000_t75" style="width:19.25pt;height:17.6pt" o:ole="">
                  <v:imagedata r:id="rId227" o:title=""/>
                </v:shape>
                <o:OLEObject Type="Embed" ProgID="Equation.3" ShapeID="_x0000_i1134" DrawAspect="Content" ObjectID="_1439716811"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5" type="#_x0000_t75" style="width:36pt;height:18.4pt" o:ole="">
                  <v:imagedata r:id="rId229" o:title=""/>
                </v:shape>
                <o:OLEObject Type="Embed" ProgID="Equation.3" ShapeID="_x0000_i1135" DrawAspect="Content" ObjectID="_1439716812"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36" type="#_x0000_t75" style="width:108pt;height:18.4pt" o:ole="">
                  <v:imagedata r:id="rId231" o:title=""/>
                </v:shape>
                <o:OLEObject Type="Embed" ProgID="Equation.3" ShapeID="_x0000_i1136" DrawAspect="Content" ObjectID="_1439716813"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6E56FF"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6E56FF" w:rsidRPr="005E149B" w:rsidRDefault="006E56FF"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44A91477" w:rsidR="006E56FF" w:rsidRPr="005E149B" w:rsidRDefault="006E56FF" w:rsidP="000B39E5">
            <w:pPr>
              <w:pStyle w:val="Default"/>
              <w:rPr>
                <w:rFonts w:ascii="Times New Roman" w:hAnsi="Times New Roman" w:cs="Times New Roman"/>
                <w:bCs/>
                <w:color w:val="252525"/>
              </w:rPr>
            </w:pPr>
            <w:r>
              <w:rPr>
                <w:rFonts w:ascii="Times New Roman" w:hAnsi="Times New Roman" w:cs="Times New Roman"/>
                <w:bCs/>
                <w:color w:val="252525"/>
              </w:rPr>
              <w:t>Dynamic model with explained heterogeneity</w:t>
            </w:r>
          </w:p>
        </w:tc>
        <w:tc>
          <w:tcPr>
            <w:tcW w:w="1350" w:type="dxa"/>
            <w:tcBorders>
              <w:top w:val="nil"/>
              <w:left w:val="nil"/>
              <w:bottom w:val="single" w:sz="4" w:space="0" w:color="auto"/>
              <w:right w:val="nil"/>
            </w:tcBorders>
            <w:vAlign w:val="center"/>
          </w:tcPr>
          <w:p w14:paraId="6EB55B98" w14:textId="22C3E9B0" w:rsidR="006E56FF" w:rsidRPr="00A434E5" w:rsidRDefault="006E56FF" w:rsidP="00794705">
            <w:pPr>
              <w:pStyle w:val="Default"/>
              <w:jc w:val="right"/>
              <w:rPr>
                <w:rFonts w:ascii="Times New Roman" w:hAnsi="Times New Roman" w:cs="Times New Roman"/>
                <w:bCs/>
                <w:color w:val="252525"/>
              </w:rPr>
            </w:pPr>
            <w:r w:rsidRPr="005E74CC">
              <w:rPr>
                <w:rFonts w:ascii="Times New Roman" w:hAnsi="Times New Roman" w:cs="Times New Roman"/>
                <w:bCs/>
                <w:color w:val="252525"/>
              </w:rPr>
              <w:t>66,385</w:t>
            </w:r>
          </w:p>
        </w:tc>
        <w:tc>
          <w:tcPr>
            <w:tcW w:w="1800" w:type="dxa"/>
            <w:tcBorders>
              <w:top w:val="nil"/>
              <w:left w:val="nil"/>
              <w:bottom w:val="single" w:sz="4" w:space="0" w:color="auto"/>
              <w:right w:val="nil"/>
            </w:tcBorders>
            <w:vAlign w:val="center"/>
          </w:tcPr>
          <w:p w14:paraId="3E87DAFE" w14:textId="0DCBEB98" w:rsidR="006E56FF" w:rsidRPr="00A434E5" w:rsidRDefault="006E56FF" w:rsidP="00743D69">
            <w:pPr>
              <w:pStyle w:val="Default"/>
              <w:jc w:val="right"/>
              <w:rPr>
                <w:rFonts w:ascii="Times New Roman" w:hAnsi="Times New Roman" w:cs="Times New Roman"/>
                <w:bCs/>
                <w:color w:val="252525"/>
              </w:rPr>
            </w:pPr>
            <w:r w:rsidRPr="005E74CC">
              <w:rPr>
                <w:rFonts w:ascii="Times New Roman" w:hAnsi="Times New Roman" w:cs="Times New Roman"/>
                <w:bCs/>
                <w:color w:val="252525"/>
              </w:rPr>
              <w:t>973</w:t>
            </w:r>
          </w:p>
        </w:tc>
        <w:tc>
          <w:tcPr>
            <w:tcW w:w="1710" w:type="dxa"/>
            <w:tcBorders>
              <w:top w:val="nil"/>
              <w:left w:val="nil"/>
              <w:bottom w:val="single" w:sz="4" w:space="0" w:color="auto"/>
              <w:right w:val="nil"/>
            </w:tcBorders>
            <w:vAlign w:val="center"/>
          </w:tcPr>
          <w:p w14:paraId="7CE91704" w14:textId="2AFA405A" w:rsidR="006E56FF" w:rsidRPr="00A434E5" w:rsidRDefault="005E74CC" w:rsidP="006719D0">
            <w:pPr>
              <w:jc w:val="right"/>
              <w:rPr>
                <w:rFonts w:ascii="Times New Roman" w:hAnsi="Times New Roman" w:cs="Times New Roman"/>
                <w:bCs/>
                <w:color w:val="252525"/>
                <w:sz w:val="24"/>
                <w:szCs w:val="24"/>
              </w:rPr>
            </w:pPr>
            <w:r>
              <w:rPr>
                <w:rFonts w:ascii="Times New Roman" w:hAnsi="Times New Roman" w:cs="Times New Roman"/>
                <w:bCs/>
                <w:color w:val="252525"/>
                <w:sz w:val="24"/>
                <w:szCs w:val="24"/>
              </w:rPr>
              <w:t>-</w:t>
            </w:r>
            <w:r w:rsidR="006E56FF" w:rsidRPr="005E74CC">
              <w:rPr>
                <w:rFonts w:ascii="Times New Roman" w:hAnsi="Times New Roman" w:cs="Times New Roman"/>
                <w:bCs/>
                <w:color w:val="252525"/>
                <w:sz w:val="24"/>
                <w:szCs w:val="24"/>
              </w:rPr>
              <w:t>32,706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4185E9E2" w:rsidR="007E3B79" w:rsidRDefault="007E3B79" w:rsidP="00C618B0">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5</w:t>
      </w:r>
      <w:r w:rsidR="00B93D8A">
        <w:rPr>
          <w:noProof/>
        </w:rPr>
        <w:fldChar w:fldCharType="end"/>
      </w:r>
      <w:r>
        <w:t xml:space="preserve"> </w:t>
      </w:r>
      <w:r w:rsidRPr="00796F00">
        <w:t xml:space="preserve">Mean </w:t>
      </w:r>
      <w:bookmarkStart w:id="0" w:name="_GoBack"/>
      <w:bookmarkEnd w:id="0"/>
      <w:r w:rsidRPr="00796F00">
        <w:t xml:space="preserve">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CF1203" w:rsidRPr="00457782" w14:paraId="3AD7A03B" w14:textId="707A3B89" w:rsidTr="0029179F">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CF1203" w:rsidRDefault="00CF1203"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7" type="#_x0000_t75" style="width:22.6pt;height:18.4pt" o:ole="">
                  <v:imagedata r:id="rId233" o:title=""/>
                </v:shape>
                <o:OLEObject Type="Embed" ProgID="Equation.3" ShapeID="_x0000_i1137" DrawAspect="Content" ObjectID="_1439716814"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540" w:type="dxa"/>
            <w:tcBorders>
              <w:top w:val="single" w:sz="4" w:space="0" w:color="auto"/>
              <w:left w:val="nil"/>
              <w:bottom w:val="nil"/>
              <w:right w:val="nil"/>
            </w:tcBorders>
            <w:vAlign w:val="center"/>
          </w:tcPr>
          <w:p w14:paraId="428C394E" w14:textId="4DC037F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0.878</w:t>
            </w:r>
          </w:p>
        </w:tc>
        <w:tc>
          <w:tcPr>
            <w:tcW w:w="1540" w:type="dxa"/>
            <w:tcBorders>
              <w:top w:val="single" w:sz="4" w:space="0" w:color="auto"/>
              <w:left w:val="nil"/>
              <w:bottom w:val="nil"/>
              <w:right w:val="nil"/>
            </w:tcBorders>
            <w:vAlign w:val="center"/>
          </w:tcPr>
          <w:p w14:paraId="04109B66" w14:textId="6814545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0.005</w:t>
            </w:r>
          </w:p>
        </w:tc>
      </w:tr>
      <w:tr w:rsidR="00CF1203" w:rsidRPr="00457782" w14:paraId="4ADAD262" w14:textId="001A4101" w:rsidTr="0029179F">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8" type="#_x0000_t75" style="width:25.1pt;height:18.4pt" o:ole="">
                  <v:imagedata r:id="rId235" o:title=""/>
                </v:shape>
                <o:OLEObject Type="Embed" ProgID="Equation.3" ShapeID="_x0000_i1138" DrawAspect="Content" ObjectID="_1439716815" r:id="rId236"/>
              </w:object>
            </w:r>
          </w:p>
        </w:tc>
        <w:tc>
          <w:tcPr>
            <w:tcW w:w="1340" w:type="dxa"/>
            <w:tcBorders>
              <w:left w:val="nil"/>
              <w:bottom w:val="nil"/>
              <w:right w:val="nil"/>
            </w:tcBorders>
            <w:shd w:val="clear" w:color="auto" w:fill="auto"/>
            <w:noWrap/>
            <w:vAlign w:val="center"/>
            <w:hideMark/>
          </w:tcPr>
          <w:p w14:paraId="3CA1C4BA" w14:textId="15C5CDE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540" w:type="dxa"/>
            <w:tcBorders>
              <w:left w:val="nil"/>
              <w:bottom w:val="nil"/>
              <w:right w:val="nil"/>
            </w:tcBorders>
            <w:vAlign w:val="center"/>
          </w:tcPr>
          <w:p w14:paraId="64B2F280" w14:textId="16C541A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-0.307</w:t>
            </w:r>
          </w:p>
        </w:tc>
        <w:tc>
          <w:tcPr>
            <w:tcW w:w="1540" w:type="dxa"/>
            <w:tcBorders>
              <w:left w:val="nil"/>
              <w:bottom w:val="nil"/>
              <w:right w:val="nil"/>
            </w:tcBorders>
            <w:vAlign w:val="center"/>
          </w:tcPr>
          <w:p w14:paraId="313E33D5" w14:textId="33993804"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0.170</w:t>
            </w:r>
          </w:p>
        </w:tc>
      </w:tr>
      <w:tr w:rsidR="00CF1203" w:rsidRPr="00457782" w14:paraId="76C0266D" w14:textId="49F326F2"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9" type="#_x0000_t75" style="width:26.8pt;height:18.4pt" o:ole="">
                  <v:imagedata r:id="rId237" o:title=""/>
                </v:shape>
                <o:OLEObject Type="Embed" ProgID="Equation.3" ShapeID="_x0000_i1139" DrawAspect="Content" ObjectID="_1439716816" r:id="rId238"/>
              </w:object>
            </w:r>
          </w:p>
        </w:tc>
        <w:tc>
          <w:tcPr>
            <w:tcW w:w="1340" w:type="dxa"/>
            <w:tcBorders>
              <w:top w:val="nil"/>
              <w:left w:val="nil"/>
              <w:bottom w:val="nil"/>
              <w:right w:val="nil"/>
            </w:tcBorders>
            <w:shd w:val="clear" w:color="auto" w:fill="auto"/>
            <w:noWrap/>
            <w:vAlign w:val="center"/>
            <w:hideMark/>
          </w:tcPr>
          <w:p w14:paraId="0B6466B1" w14:textId="5761518A"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540" w:type="dxa"/>
            <w:tcBorders>
              <w:top w:val="nil"/>
              <w:left w:val="nil"/>
              <w:bottom w:val="nil"/>
              <w:right w:val="nil"/>
            </w:tcBorders>
            <w:vAlign w:val="center"/>
          </w:tcPr>
          <w:p w14:paraId="754CE04A" w14:textId="539A066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0.047</w:t>
            </w:r>
          </w:p>
        </w:tc>
        <w:tc>
          <w:tcPr>
            <w:tcW w:w="1540" w:type="dxa"/>
            <w:tcBorders>
              <w:top w:val="nil"/>
              <w:left w:val="nil"/>
              <w:bottom w:val="nil"/>
              <w:right w:val="nil"/>
            </w:tcBorders>
            <w:vAlign w:val="center"/>
          </w:tcPr>
          <w:p w14:paraId="42393056" w14:textId="65BBEC0E"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-0.238</w:t>
            </w:r>
          </w:p>
        </w:tc>
      </w:tr>
      <w:tr w:rsidR="00CF1203" w:rsidRPr="00457782" w14:paraId="61AE35F3" w14:textId="34B89017"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40" type="#_x0000_t75" style="width:25.95pt;height:18.4pt" o:ole="">
                  <v:imagedata r:id="rId239" o:title=""/>
                </v:shape>
                <o:OLEObject Type="Embed" ProgID="Equation.3" ShapeID="_x0000_i1140" DrawAspect="Content" ObjectID="_1439716817" r:id="rId240"/>
              </w:object>
            </w:r>
          </w:p>
        </w:tc>
        <w:tc>
          <w:tcPr>
            <w:tcW w:w="1340" w:type="dxa"/>
            <w:tcBorders>
              <w:top w:val="nil"/>
              <w:left w:val="nil"/>
              <w:bottom w:val="nil"/>
              <w:right w:val="nil"/>
            </w:tcBorders>
            <w:shd w:val="clear" w:color="auto" w:fill="auto"/>
            <w:noWrap/>
            <w:vAlign w:val="center"/>
            <w:hideMark/>
          </w:tcPr>
          <w:p w14:paraId="41C7C7F2" w14:textId="5E0415B6"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540" w:type="dxa"/>
            <w:tcBorders>
              <w:top w:val="nil"/>
              <w:left w:val="nil"/>
              <w:bottom w:val="nil"/>
              <w:right w:val="nil"/>
            </w:tcBorders>
            <w:vAlign w:val="center"/>
          </w:tcPr>
          <w:p w14:paraId="7CBD895D" w14:textId="6D92C2F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0.009</w:t>
            </w:r>
          </w:p>
        </w:tc>
        <w:tc>
          <w:tcPr>
            <w:tcW w:w="1540" w:type="dxa"/>
            <w:tcBorders>
              <w:top w:val="nil"/>
              <w:left w:val="nil"/>
              <w:bottom w:val="nil"/>
              <w:right w:val="nil"/>
            </w:tcBorders>
            <w:vAlign w:val="center"/>
          </w:tcPr>
          <w:p w14:paraId="4A758B54" w14:textId="20C2316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D22E040" w14:textId="72F116CA"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1" type="#_x0000_t75" style="width:26.8pt;height:18.4pt" o:ole="">
                  <v:imagedata r:id="rId241" o:title=""/>
                </v:shape>
                <o:OLEObject Type="Embed" ProgID="Equation.3" ShapeID="_x0000_i1141" DrawAspect="Content" ObjectID="_1439716818" r:id="rId242"/>
              </w:object>
            </w:r>
          </w:p>
        </w:tc>
        <w:tc>
          <w:tcPr>
            <w:tcW w:w="1340" w:type="dxa"/>
            <w:tcBorders>
              <w:top w:val="nil"/>
              <w:left w:val="nil"/>
              <w:bottom w:val="nil"/>
              <w:right w:val="nil"/>
            </w:tcBorders>
            <w:shd w:val="clear" w:color="auto" w:fill="auto"/>
            <w:noWrap/>
            <w:vAlign w:val="center"/>
            <w:hideMark/>
          </w:tcPr>
          <w:p w14:paraId="285BE607" w14:textId="2ECF6D99"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540" w:type="dxa"/>
            <w:tcBorders>
              <w:top w:val="nil"/>
              <w:left w:val="nil"/>
              <w:bottom w:val="nil"/>
              <w:right w:val="nil"/>
            </w:tcBorders>
            <w:vAlign w:val="center"/>
          </w:tcPr>
          <w:p w14:paraId="06E45CD5" w14:textId="7A332C7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0.012</w:t>
            </w:r>
          </w:p>
        </w:tc>
        <w:tc>
          <w:tcPr>
            <w:tcW w:w="1540" w:type="dxa"/>
            <w:tcBorders>
              <w:top w:val="nil"/>
              <w:left w:val="nil"/>
              <w:bottom w:val="nil"/>
              <w:right w:val="nil"/>
            </w:tcBorders>
            <w:vAlign w:val="center"/>
          </w:tcPr>
          <w:p w14:paraId="2F680AA2" w14:textId="346DE961"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0.065</w:t>
            </w:r>
          </w:p>
        </w:tc>
      </w:tr>
      <w:tr w:rsidR="00CF1203" w:rsidRPr="00457782" w14:paraId="3AB87E65" w14:textId="0B79907D"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2" type="#_x0000_t75" style="width:25.95pt;height:18.4pt" o:ole="">
                  <v:imagedata r:id="rId243" o:title=""/>
                </v:shape>
                <o:OLEObject Type="Embed" ProgID="Equation.3" ShapeID="_x0000_i1142" DrawAspect="Content" ObjectID="_1439716819" r:id="rId244"/>
              </w:object>
            </w:r>
          </w:p>
        </w:tc>
        <w:tc>
          <w:tcPr>
            <w:tcW w:w="1340" w:type="dxa"/>
            <w:tcBorders>
              <w:top w:val="nil"/>
              <w:left w:val="nil"/>
              <w:bottom w:val="nil"/>
              <w:right w:val="nil"/>
            </w:tcBorders>
            <w:shd w:val="clear" w:color="auto" w:fill="auto"/>
            <w:noWrap/>
            <w:vAlign w:val="center"/>
            <w:hideMark/>
          </w:tcPr>
          <w:p w14:paraId="00D7350F" w14:textId="288A758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540" w:type="dxa"/>
            <w:tcBorders>
              <w:top w:val="nil"/>
              <w:left w:val="nil"/>
              <w:bottom w:val="nil"/>
              <w:right w:val="nil"/>
            </w:tcBorders>
            <w:vAlign w:val="center"/>
          </w:tcPr>
          <w:p w14:paraId="420EC2B3" w14:textId="2A35A70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0.629</w:t>
            </w:r>
          </w:p>
        </w:tc>
        <w:tc>
          <w:tcPr>
            <w:tcW w:w="1540" w:type="dxa"/>
            <w:tcBorders>
              <w:top w:val="nil"/>
              <w:left w:val="nil"/>
              <w:bottom w:val="nil"/>
              <w:right w:val="nil"/>
            </w:tcBorders>
            <w:vAlign w:val="center"/>
          </w:tcPr>
          <w:p w14:paraId="776A7DFF" w14:textId="7A21AD65"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8830EC4" w14:textId="51FD78A5"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3" type="#_x0000_t75" style="width:11.7pt;height:18.4pt" o:ole="">
                  <v:imagedata r:id="rId81" o:title=""/>
                </v:shape>
                <o:OLEObject Type="Embed" ProgID="Equation.3" ShapeID="_x0000_i1143" DrawAspect="Content" ObjectID="_1439716820" r:id="rId245"/>
              </w:object>
            </w:r>
          </w:p>
        </w:tc>
        <w:tc>
          <w:tcPr>
            <w:tcW w:w="1340" w:type="dxa"/>
            <w:tcBorders>
              <w:top w:val="nil"/>
              <w:left w:val="nil"/>
              <w:bottom w:val="nil"/>
              <w:right w:val="nil"/>
            </w:tcBorders>
            <w:shd w:val="clear" w:color="auto" w:fill="auto"/>
            <w:noWrap/>
            <w:vAlign w:val="center"/>
            <w:hideMark/>
          </w:tcPr>
          <w:p w14:paraId="6ED3BEB8" w14:textId="7757FE0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540" w:type="dxa"/>
            <w:tcBorders>
              <w:top w:val="nil"/>
              <w:left w:val="nil"/>
              <w:bottom w:val="nil"/>
              <w:right w:val="nil"/>
            </w:tcBorders>
            <w:vAlign w:val="center"/>
          </w:tcPr>
          <w:p w14:paraId="5EB34704" w14:textId="2406982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0.109</w:t>
            </w:r>
          </w:p>
        </w:tc>
        <w:tc>
          <w:tcPr>
            <w:tcW w:w="1540" w:type="dxa"/>
            <w:tcBorders>
              <w:top w:val="nil"/>
              <w:left w:val="nil"/>
              <w:bottom w:val="nil"/>
              <w:right w:val="nil"/>
            </w:tcBorders>
            <w:vAlign w:val="center"/>
          </w:tcPr>
          <w:p w14:paraId="3A912E33" w14:textId="2D40251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422.024</w:t>
            </w:r>
          </w:p>
        </w:tc>
      </w:tr>
      <w:tr w:rsidR="00CF1203" w:rsidRPr="00457782" w14:paraId="344FF4E6" w14:textId="15BFC383"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4" type="#_x0000_t75" style="width:13.4pt;height:18.4pt" o:ole="">
                  <v:imagedata r:id="rId246" o:title=""/>
                </v:shape>
                <o:OLEObject Type="Embed" ProgID="Equation.3" ShapeID="_x0000_i1144" DrawAspect="Content" ObjectID="_1439716821" r:id="rId247"/>
              </w:object>
            </w:r>
            <w:r>
              <w:t>)</w:t>
            </w:r>
          </w:p>
        </w:tc>
        <w:tc>
          <w:tcPr>
            <w:tcW w:w="1340" w:type="dxa"/>
            <w:tcBorders>
              <w:top w:val="nil"/>
              <w:left w:val="nil"/>
              <w:bottom w:val="nil"/>
              <w:right w:val="nil"/>
            </w:tcBorders>
            <w:shd w:val="clear" w:color="auto" w:fill="auto"/>
            <w:noWrap/>
            <w:vAlign w:val="center"/>
            <w:hideMark/>
          </w:tcPr>
          <w:p w14:paraId="2CE3EF87" w14:textId="313362C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540" w:type="dxa"/>
            <w:tcBorders>
              <w:top w:val="nil"/>
              <w:left w:val="nil"/>
              <w:bottom w:val="nil"/>
              <w:right w:val="nil"/>
            </w:tcBorders>
            <w:vAlign w:val="center"/>
          </w:tcPr>
          <w:p w14:paraId="22539A35" w14:textId="7FEB9F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-39.799</w:t>
            </w:r>
          </w:p>
        </w:tc>
        <w:tc>
          <w:tcPr>
            <w:tcW w:w="1540" w:type="dxa"/>
            <w:tcBorders>
              <w:top w:val="nil"/>
              <w:left w:val="nil"/>
              <w:bottom w:val="nil"/>
              <w:right w:val="nil"/>
            </w:tcBorders>
            <w:vAlign w:val="center"/>
          </w:tcPr>
          <w:p w14:paraId="7A2DE091" w14:textId="333B60BD"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0.316</w:t>
            </w:r>
          </w:p>
        </w:tc>
      </w:tr>
      <w:tr w:rsidR="00CF1203" w:rsidRPr="00457782" w14:paraId="78B58DDE" w14:textId="66D66FA1" w:rsidTr="0029179F">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5" type="#_x0000_t75" style="width:15.05pt;height:18.4pt" o:ole="">
                  <v:imagedata r:id="rId248" o:title=""/>
                </v:shape>
                <o:OLEObject Type="Embed" ProgID="Equation.3" ShapeID="_x0000_i1145" DrawAspect="Content" ObjectID="_1439716822"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540" w:type="dxa"/>
            <w:tcBorders>
              <w:top w:val="nil"/>
              <w:left w:val="nil"/>
              <w:bottom w:val="single" w:sz="4" w:space="0" w:color="auto"/>
              <w:right w:val="nil"/>
            </w:tcBorders>
            <w:vAlign w:val="center"/>
          </w:tcPr>
          <w:p w14:paraId="15984720" w14:textId="1863C56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4.168</w:t>
            </w:r>
          </w:p>
        </w:tc>
        <w:tc>
          <w:tcPr>
            <w:tcW w:w="1540" w:type="dxa"/>
            <w:tcBorders>
              <w:top w:val="nil"/>
              <w:left w:val="nil"/>
              <w:bottom w:val="single" w:sz="4" w:space="0" w:color="auto"/>
              <w:right w:val="nil"/>
            </w:tcBorders>
            <w:vAlign w:val="center"/>
          </w:tcPr>
          <w:p w14:paraId="08C1D307" w14:textId="6CA7397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7.731</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6</w:t>
      </w:r>
      <w:r w:rsidR="00B93D8A">
        <w:rPr>
          <w:noProof/>
        </w:rPr>
        <w:fldChar w:fldCharType="end"/>
      </w:r>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6" type="#_x0000_t75" style="width:25.1pt;height:18.4pt" o:ole="">
                  <v:imagedata r:id="rId235" o:title=""/>
                </v:shape>
                <o:OLEObject Type="Embed" ProgID="Equation.3" ShapeID="_x0000_i1146" DrawAspect="Content" ObjectID="_1439716823"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7" type="#_x0000_t75" style="width:26.8pt;height:18.4pt" o:ole="">
                  <v:imagedata r:id="rId237" o:title=""/>
                </v:shape>
                <o:OLEObject Type="Embed" ProgID="Equation.3" ShapeID="_x0000_i1147" DrawAspect="Content" ObjectID="_1439716824"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8" type="#_x0000_t75" style="width:25.95pt;height:18.4pt" o:ole="">
                  <v:imagedata r:id="rId239" o:title=""/>
                </v:shape>
                <o:OLEObject Type="Embed" ProgID="Equation.3" ShapeID="_x0000_i1148" DrawAspect="Content" ObjectID="_1439716825"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9" type="#_x0000_t75" style="width:26.8pt;height:18.4pt" o:ole="">
                  <v:imagedata r:id="rId241" o:title=""/>
                </v:shape>
                <o:OLEObject Type="Embed" ProgID="Equation.3" ShapeID="_x0000_i1149" DrawAspect="Content" ObjectID="_1439716826"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242DF2AB">
                <v:shape id="_x0000_i1150" type="#_x0000_t75" style="width:25.95pt;height:18.4pt" o:ole="">
                  <v:imagedata r:id="rId243" o:title=""/>
                </v:shape>
                <o:OLEObject Type="Embed" ProgID="Equation.3" ShapeID="_x0000_i1150" DrawAspect="Content" ObjectID="_1439716827"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1" type="#_x0000_t75" style="width:11.7pt;height:18.4pt" o:ole="">
                  <v:imagedata r:id="rId81" o:title=""/>
                </v:shape>
                <o:OLEObject Type="Embed" ProgID="Equation.3" ShapeID="_x0000_i1151" DrawAspect="Content" ObjectID="_1439716828"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2" type="#_x0000_t75" style="width:13.4pt;height:18.4pt" o:ole="">
                  <v:imagedata r:id="rId246" o:title=""/>
                </v:shape>
                <o:OLEObject Type="Embed" ProgID="Equation.3" ShapeID="_x0000_i1152" DrawAspect="Content" ObjectID="_1439716829"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3" type="#_x0000_t75" style="width:15.05pt;height:18.4pt" o:ole="">
                  <v:imagedata r:id="rId248" o:title=""/>
                </v:shape>
                <o:OLEObject Type="Embed" ProgID="Equation.3" ShapeID="_x0000_i1153" DrawAspect="Content" ObjectID="_1439716830"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r w:rsidR="00B93D8A">
        <w:fldChar w:fldCharType="begin"/>
      </w:r>
      <w:r w:rsidR="00B93D8A">
        <w:instrText xml:space="preserve"> SEQ Figure \* ARABIC </w:instrText>
      </w:r>
      <w:r w:rsidR="00B93D8A">
        <w:fldChar w:fldCharType="separate"/>
      </w:r>
      <w:r w:rsidR="006C06CC">
        <w:rPr>
          <w:noProof/>
        </w:rPr>
        <w:t>5</w:t>
      </w:r>
      <w:r w:rsidR="00B93D8A">
        <w:rPr>
          <w:noProof/>
        </w:rPr>
        <w:fldChar w:fldCharType="end"/>
      </w:r>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7</w:t>
      </w:r>
      <w:r w:rsidR="00B93D8A">
        <w:rPr>
          <w:noProof/>
        </w:rP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r w:rsidR="00B93D8A">
        <w:fldChar w:fldCharType="begin"/>
      </w:r>
      <w:r w:rsidR="00B93D8A">
        <w:instrText xml:space="preserve"> SEQ Figure \* ARABIC </w:instrText>
      </w:r>
      <w:r w:rsidR="00B93D8A">
        <w:fldChar w:fldCharType="separate"/>
      </w:r>
      <w:r w:rsidR="006C06CC">
        <w:rPr>
          <w:noProof/>
        </w:rPr>
        <w:t>6</w:t>
      </w:r>
      <w:r w:rsidR="00B93D8A">
        <w:rPr>
          <w:noProof/>
        </w:rPr>
        <w:fldChar w:fldCharType="end"/>
      </w:r>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1837298D" w:rsidR="003A4FDF" w:rsidRDefault="003A4FDF" w:rsidP="001A0F51">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8</w:t>
      </w:r>
      <w:r w:rsidR="00B93D8A">
        <w:rPr>
          <w:noProof/>
        </w:rPr>
        <w:fldChar w:fldCharType="end"/>
      </w:r>
      <w:r>
        <w:t xml:space="preserve"> Mean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4" type="#_x0000_t75" style="width:22.6pt;height:18.4pt" o:ole="">
                  <v:imagedata r:id="rId233" o:title=""/>
                </v:shape>
                <o:OLEObject Type="Embed" ProgID="Equation.3" ShapeID="_x0000_i1154" DrawAspect="Content" ObjectID="_1439716831"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5" type="#_x0000_t75" style="width:25.1pt;height:18.4pt" o:ole="">
                  <v:imagedata r:id="rId235" o:title=""/>
                </v:shape>
                <o:OLEObject Type="Embed" ProgID="Equation.3" ShapeID="_x0000_i1155" DrawAspect="Content" ObjectID="_1439716832"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6" type="#_x0000_t75" style="width:26.8pt;height:18.4pt" o:ole="">
                  <v:imagedata r:id="rId237" o:title=""/>
                </v:shape>
                <o:OLEObject Type="Embed" ProgID="Equation.3" ShapeID="_x0000_i1156" DrawAspect="Content" ObjectID="_1439716833"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7" type="#_x0000_t75" style="width:25.95pt;height:18.4pt" o:ole="">
                  <v:imagedata r:id="rId239" o:title=""/>
                </v:shape>
                <o:OLEObject Type="Embed" ProgID="Equation.3" ShapeID="_x0000_i1157" DrawAspect="Content" ObjectID="_1439716834"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8" type="#_x0000_t75" style="width:26.8pt;height:18.4pt" o:ole="">
                  <v:imagedata r:id="rId241" o:title=""/>
                </v:shape>
                <o:OLEObject Type="Embed" ProgID="Equation.3" ShapeID="_x0000_i1158" DrawAspect="Content" ObjectID="_1439716835"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9" type="#_x0000_t75" style="width:25.95pt;height:18.4pt" o:ole="">
                  <v:imagedata r:id="rId243" o:title=""/>
                </v:shape>
                <o:OLEObject Type="Embed" ProgID="Equation.3" ShapeID="_x0000_i1159" DrawAspect="Content" ObjectID="_1439716836"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60" type="#_x0000_t75" style="width:11.7pt;height:18.4pt" o:ole="">
                  <v:imagedata r:id="rId81" o:title=""/>
                </v:shape>
                <o:OLEObject Type="Embed" ProgID="Equation.3" ShapeID="_x0000_i1160" DrawAspect="Content" ObjectID="_1439716837"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161" type="#_x0000_t75" style="width:13.4pt;height:18.4pt" o:ole="">
                  <v:imagedata r:id="rId268" o:title=""/>
                </v:shape>
                <o:OLEObject Type="Embed" ProgID="Equation.3" ShapeID="_x0000_i1161" DrawAspect="Content" ObjectID="_1439716838"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2" type="#_x0000_t75" style="width:15.05pt;height:18.4pt" o:ole="">
                  <v:imagedata r:id="rId270" o:title=""/>
                </v:shape>
                <o:OLEObject Type="Embed" ProgID="Equation.3" ShapeID="_x0000_i1162" DrawAspect="Content" ObjectID="_1439716839"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9</w:t>
      </w:r>
      <w:r w:rsidR="00B93D8A">
        <w:rPr>
          <w:noProof/>
        </w:rPr>
        <w:fldChar w:fldCharType="end"/>
      </w:r>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3" type="#_x0000_t75" style="width:22.6pt;height:18.4pt" o:ole="">
                  <v:imagedata r:id="rId233" o:title=""/>
                </v:shape>
                <o:OLEObject Type="Embed" ProgID="Equation.3" ShapeID="_x0000_i1163" DrawAspect="Content" ObjectID="_1439716840"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4" type="#_x0000_t75" style="width:25.1pt;height:18.4pt" o:ole="">
                  <v:imagedata r:id="rId235" o:title=""/>
                </v:shape>
                <o:OLEObject Type="Embed" ProgID="Equation.3" ShapeID="_x0000_i1164" DrawAspect="Content" ObjectID="_1439716841"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5" type="#_x0000_t75" style="width:26.8pt;height:18.4pt" o:ole="">
                  <v:imagedata r:id="rId237" o:title=""/>
                </v:shape>
                <o:OLEObject Type="Embed" ProgID="Equation.3" ShapeID="_x0000_i1165" DrawAspect="Content" ObjectID="_1439716842"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6" type="#_x0000_t75" style="width:25.95pt;height:18.4pt" o:ole="">
                  <v:imagedata r:id="rId239" o:title=""/>
                </v:shape>
                <o:OLEObject Type="Embed" ProgID="Equation.3" ShapeID="_x0000_i1166" DrawAspect="Content" ObjectID="_1439716843"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7" type="#_x0000_t75" style="width:26.8pt;height:18.4pt" o:ole="">
                  <v:imagedata r:id="rId241" o:title=""/>
                </v:shape>
                <o:OLEObject Type="Embed" ProgID="Equation.3" ShapeID="_x0000_i1167" DrawAspect="Content" ObjectID="_1439716844"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168" type="#_x0000_t75" style="width:25.95pt;height:18.4pt" o:ole="">
                  <v:imagedata r:id="rId243" o:title=""/>
                </v:shape>
                <o:OLEObject Type="Embed" ProgID="Equation.3" ShapeID="_x0000_i1168" DrawAspect="Content" ObjectID="_1439716845"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9" type="#_x0000_t75" style="width:11.7pt;height:18.4pt" o:ole="">
                  <v:imagedata r:id="rId81" o:title=""/>
                </v:shape>
                <o:OLEObject Type="Embed" ProgID="Equation.3" ShapeID="_x0000_i1169" DrawAspect="Content" ObjectID="_1439716846"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70" type="#_x0000_t75" style="width:13.4pt;height:18.4pt" o:ole="">
                  <v:imagedata r:id="rId279" o:title=""/>
                </v:shape>
                <o:OLEObject Type="Embed" ProgID="Equation.3" ShapeID="_x0000_i1170" DrawAspect="Content" ObjectID="_1439716847"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1" type="#_x0000_t75" style="width:15.05pt;height:18.4pt" o:ole="">
                  <v:imagedata r:id="rId248" o:title=""/>
                </v:shape>
                <o:OLEObject Type="Embed" ProgID="Equation.3" ShapeID="_x0000_i1171" DrawAspect="Content" ObjectID="_1439716848"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r w:rsidR="00B93D8A">
        <w:fldChar w:fldCharType="begin"/>
      </w:r>
      <w:r w:rsidR="00B93D8A">
        <w:instrText xml:space="preserve"> SEQ Table \* ARABIC </w:instrText>
      </w:r>
      <w:r w:rsidR="00B93D8A">
        <w:fldChar w:fldCharType="separate"/>
      </w:r>
      <w:r w:rsidR="006C06CC">
        <w:rPr>
          <w:noProof/>
        </w:rPr>
        <w:t>10</w:t>
      </w:r>
      <w:r w:rsidR="00B93D8A">
        <w:rPr>
          <w:noProof/>
        </w:rP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70374B">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28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523BB8" w:rsidRPr="005C603E" w14:paraId="489A7979" w14:textId="77777777" w:rsidTr="008014D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2" type="#_x0000_t75" style="width:22.6pt;height:18.4pt" o:ole="">
                  <v:imagedata r:id="rId233" o:title=""/>
                </v:shape>
                <o:OLEObject Type="Embed" ProgID="Equation.3" ShapeID="_x0000_i1172" DrawAspect="Content" ObjectID="_1439716849" r:id="rId282"/>
              </w:object>
            </w:r>
          </w:p>
        </w:tc>
        <w:tc>
          <w:tcPr>
            <w:tcW w:w="2283" w:type="dxa"/>
            <w:tcBorders>
              <w:top w:val="single" w:sz="4" w:space="0" w:color="auto"/>
              <w:left w:val="nil"/>
              <w:bottom w:val="nil"/>
              <w:right w:val="nil"/>
            </w:tcBorders>
            <w:vAlign w:val="center"/>
          </w:tcPr>
          <w:p w14:paraId="46113539" w14:textId="3EC8927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5141EF1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0.345</w:t>
            </w:r>
          </w:p>
        </w:tc>
        <w:tc>
          <w:tcPr>
            <w:tcW w:w="830" w:type="dxa"/>
            <w:tcBorders>
              <w:top w:val="single" w:sz="4" w:space="0" w:color="auto"/>
              <w:left w:val="nil"/>
              <w:bottom w:val="nil"/>
              <w:right w:val="nil"/>
            </w:tcBorders>
            <w:shd w:val="clear" w:color="auto" w:fill="auto"/>
            <w:noWrap/>
            <w:vAlign w:val="bottom"/>
            <w:hideMark/>
          </w:tcPr>
          <w:p w14:paraId="6387C4D4" w14:textId="085F4D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0.239</w:t>
            </w:r>
          </w:p>
        </w:tc>
        <w:tc>
          <w:tcPr>
            <w:tcW w:w="1031" w:type="dxa"/>
            <w:tcBorders>
              <w:top w:val="single" w:sz="4" w:space="0" w:color="auto"/>
              <w:left w:val="nil"/>
              <w:bottom w:val="nil"/>
              <w:right w:val="nil"/>
            </w:tcBorders>
            <w:shd w:val="clear" w:color="auto" w:fill="auto"/>
            <w:noWrap/>
            <w:vAlign w:val="bottom"/>
            <w:hideMark/>
          </w:tcPr>
          <w:p w14:paraId="6A96E4E9" w14:textId="3A84E58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0.11</w:t>
            </w:r>
          </w:p>
        </w:tc>
        <w:tc>
          <w:tcPr>
            <w:tcW w:w="990" w:type="dxa"/>
            <w:tcBorders>
              <w:top w:val="single" w:sz="4" w:space="0" w:color="auto"/>
              <w:left w:val="nil"/>
              <w:bottom w:val="nil"/>
              <w:right w:val="nil"/>
            </w:tcBorders>
            <w:shd w:val="clear" w:color="auto" w:fill="auto"/>
            <w:noWrap/>
            <w:vAlign w:val="bottom"/>
            <w:hideMark/>
          </w:tcPr>
          <w:p w14:paraId="39D8AE10" w14:textId="38E161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0.89</w:t>
            </w:r>
          </w:p>
        </w:tc>
      </w:tr>
      <w:tr w:rsidR="00523BB8" w:rsidRPr="005C603E" w14:paraId="7F89D02E" w14:textId="77777777" w:rsidTr="008014DD">
        <w:trPr>
          <w:trHeight w:val="300"/>
        </w:trPr>
        <w:tc>
          <w:tcPr>
            <w:tcW w:w="2970" w:type="dxa"/>
            <w:tcBorders>
              <w:top w:val="nil"/>
              <w:left w:val="nil"/>
              <w:bottom w:val="nil"/>
              <w:right w:val="nil"/>
            </w:tcBorders>
            <w:shd w:val="clear" w:color="auto" w:fill="auto"/>
            <w:noWrap/>
            <w:vAlign w:val="bottom"/>
          </w:tcPr>
          <w:p w14:paraId="6932F2BE"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297506B" w14:textId="5FA20A5C"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B6C578D"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0.631</w:t>
            </w:r>
          </w:p>
        </w:tc>
        <w:tc>
          <w:tcPr>
            <w:tcW w:w="830" w:type="dxa"/>
            <w:tcBorders>
              <w:top w:val="nil"/>
              <w:left w:val="nil"/>
              <w:bottom w:val="nil"/>
              <w:right w:val="nil"/>
            </w:tcBorders>
            <w:shd w:val="clear" w:color="auto" w:fill="auto"/>
            <w:noWrap/>
            <w:vAlign w:val="bottom"/>
          </w:tcPr>
          <w:p w14:paraId="0E2F74DC" w14:textId="4444585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0.272</w:t>
            </w:r>
          </w:p>
        </w:tc>
        <w:tc>
          <w:tcPr>
            <w:tcW w:w="1031" w:type="dxa"/>
            <w:tcBorders>
              <w:top w:val="nil"/>
              <w:left w:val="nil"/>
              <w:bottom w:val="nil"/>
              <w:right w:val="nil"/>
            </w:tcBorders>
            <w:shd w:val="clear" w:color="auto" w:fill="auto"/>
            <w:noWrap/>
            <w:vAlign w:val="bottom"/>
          </w:tcPr>
          <w:p w14:paraId="4DA2D8D7" w14:textId="3AC54B8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tcPr>
          <w:p w14:paraId="7B657D6E" w14:textId="79F9FD5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0.91</w:t>
            </w:r>
          </w:p>
        </w:tc>
      </w:tr>
      <w:tr w:rsidR="00523BB8" w:rsidRPr="005C603E" w14:paraId="5DE670EC" w14:textId="77777777" w:rsidTr="008014DD">
        <w:trPr>
          <w:trHeight w:val="300"/>
        </w:trPr>
        <w:tc>
          <w:tcPr>
            <w:tcW w:w="2970" w:type="dxa"/>
            <w:tcBorders>
              <w:top w:val="nil"/>
              <w:left w:val="nil"/>
              <w:bottom w:val="nil"/>
              <w:right w:val="nil"/>
            </w:tcBorders>
            <w:shd w:val="clear" w:color="auto" w:fill="auto"/>
            <w:noWrap/>
            <w:vAlign w:val="bottom"/>
            <w:hideMark/>
          </w:tcPr>
          <w:p w14:paraId="6504723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73" type="#_x0000_t75" style="width:25.1pt;height:18.4pt" o:ole="">
                  <v:imagedata r:id="rId235" o:title=""/>
                </v:shape>
                <o:OLEObject Type="Embed" ProgID="Equation.3" ShapeID="_x0000_i1173" DrawAspect="Content" ObjectID="_1439716850" r:id="rId283"/>
              </w:object>
            </w:r>
          </w:p>
        </w:tc>
        <w:tc>
          <w:tcPr>
            <w:tcW w:w="2283" w:type="dxa"/>
            <w:tcBorders>
              <w:top w:val="nil"/>
              <w:left w:val="nil"/>
              <w:bottom w:val="nil"/>
              <w:right w:val="nil"/>
            </w:tcBorders>
            <w:vAlign w:val="center"/>
          </w:tcPr>
          <w:p w14:paraId="769E8B68" w14:textId="19E77B18"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5A9FD9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0.306</w:t>
            </w:r>
          </w:p>
        </w:tc>
        <w:tc>
          <w:tcPr>
            <w:tcW w:w="830" w:type="dxa"/>
            <w:tcBorders>
              <w:top w:val="nil"/>
              <w:left w:val="nil"/>
              <w:bottom w:val="nil"/>
              <w:right w:val="nil"/>
            </w:tcBorders>
            <w:shd w:val="clear" w:color="auto" w:fill="auto"/>
            <w:noWrap/>
            <w:vAlign w:val="bottom"/>
            <w:hideMark/>
          </w:tcPr>
          <w:p w14:paraId="170376EA" w14:textId="2147409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0.268</w:t>
            </w:r>
          </w:p>
        </w:tc>
        <w:tc>
          <w:tcPr>
            <w:tcW w:w="1031" w:type="dxa"/>
            <w:tcBorders>
              <w:top w:val="nil"/>
              <w:left w:val="nil"/>
              <w:bottom w:val="nil"/>
              <w:right w:val="nil"/>
            </w:tcBorders>
            <w:shd w:val="clear" w:color="auto" w:fill="auto"/>
            <w:noWrap/>
            <w:vAlign w:val="bottom"/>
            <w:hideMark/>
          </w:tcPr>
          <w:p w14:paraId="7AF5AE65" w14:textId="77D7367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w:t>
            </w:r>
          </w:p>
        </w:tc>
        <w:tc>
          <w:tcPr>
            <w:tcW w:w="990" w:type="dxa"/>
            <w:tcBorders>
              <w:top w:val="nil"/>
              <w:left w:val="nil"/>
              <w:bottom w:val="nil"/>
              <w:right w:val="nil"/>
            </w:tcBorders>
            <w:shd w:val="clear" w:color="auto" w:fill="auto"/>
            <w:noWrap/>
            <w:vAlign w:val="bottom"/>
            <w:hideMark/>
          </w:tcPr>
          <w:p w14:paraId="3E304C28" w14:textId="2396C10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0.75</w:t>
            </w:r>
          </w:p>
        </w:tc>
      </w:tr>
      <w:tr w:rsidR="00523BB8" w:rsidRPr="005C603E" w14:paraId="78A082C1" w14:textId="77777777" w:rsidTr="008014DD">
        <w:trPr>
          <w:trHeight w:val="300"/>
        </w:trPr>
        <w:tc>
          <w:tcPr>
            <w:tcW w:w="2970" w:type="dxa"/>
            <w:tcBorders>
              <w:top w:val="nil"/>
              <w:left w:val="nil"/>
              <w:bottom w:val="nil"/>
              <w:right w:val="nil"/>
            </w:tcBorders>
            <w:shd w:val="clear" w:color="auto" w:fill="auto"/>
            <w:noWrap/>
            <w:vAlign w:val="bottom"/>
          </w:tcPr>
          <w:p w14:paraId="6C86F821"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10EA077F" w14:textId="5FD8DC2D"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Variance steady state</w:t>
            </w:r>
          </w:p>
        </w:tc>
        <w:tc>
          <w:tcPr>
            <w:tcW w:w="986" w:type="dxa"/>
            <w:tcBorders>
              <w:top w:val="nil"/>
              <w:left w:val="nil"/>
              <w:bottom w:val="nil"/>
              <w:right w:val="nil"/>
            </w:tcBorders>
            <w:shd w:val="clear" w:color="auto" w:fill="auto"/>
            <w:noWrap/>
            <w:vAlign w:val="bottom"/>
          </w:tcPr>
          <w:p w14:paraId="7D2E5033" w14:textId="0FB4ED5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-0.333</w:t>
            </w:r>
          </w:p>
        </w:tc>
        <w:tc>
          <w:tcPr>
            <w:tcW w:w="830" w:type="dxa"/>
            <w:tcBorders>
              <w:top w:val="nil"/>
              <w:left w:val="nil"/>
              <w:bottom w:val="nil"/>
              <w:right w:val="nil"/>
            </w:tcBorders>
            <w:shd w:val="clear" w:color="auto" w:fill="auto"/>
            <w:noWrap/>
            <w:vAlign w:val="bottom"/>
          </w:tcPr>
          <w:p w14:paraId="74C7B627" w14:textId="0F98E75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0.166</w:t>
            </w:r>
          </w:p>
        </w:tc>
        <w:tc>
          <w:tcPr>
            <w:tcW w:w="1031" w:type="dxa"/>
            <w:tcBorders>
              <w:top w:val="nil"/>
              <w:left w:val="nil"/>
              <w:bottom w:val="nil"/>
              <w:right w:val="nil"/>
            </w:tcBorders>
            <w:shd w:val="clear" w:color="auto" w:fill="auto"/>
            <w:noWrap/>
            <w:vAlign w:val="bottom"/>
          </w:tcPr>
          <w:p w14:paraId="2CA3D94D" w14:textId="3607FEC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-0.62</w:t>
            </w:r>
          </w:p>
        </w:tc>
        <w:tc>
          <w:tcPr>
            <w:tcW w:w="990" w:type="dxa"/>
            <w:tcBorders>
              <w:top w:val="nil"/>
              <w:left w:val="nil"/>
              <w:bottom w:val="nil"/>
              <w:right w:val="nil"/>
            </w:tcBorders>
            <w:shd w:val="clear" w:color="auto" w:fill="auto"/>
            <w:noWrap/>
            <w:vAlign w:val="bottom"/>
          </w:tcPr>
          <w:p w14:paraId="24D41E70" w14:textId="04791E0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r>
      <w:tr w:rsidR="00523BB8" w:rsidRPr="005C603E" w14:paraId="4EB2B333" w14:textId="77777777" w:rsidTr="008014DD">
        <w:trPr>
          <w:trHeight w:val="300"/>
        </w:trPr>
        <w:tc>
          <w:tcPr>
            <w:tcW w:w="2970" w:type="dxa"/>
            <w:tcBorders>
              <w:top w:val="nil"/>
              <w:left w:val="nil"/>
              <w:bottom w:val="nil"/>
              <w:right w:val="nil"/>
            </w:tcBorders>
            <w:shd w:val="clear" w:color="auto" w:fill="auto"/>
            <w:noWrap/>
            <w:vAlign w:val="bottom"/>
            <w:hideMark/>
          </w:tcPr>
          <w:p w14:paraId="40C51EAC"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74" type="#_x0000_t75" style="width:26.8pt;height:18.4pt" o:ole="">
                  <v:imagedata r:id="rId237" o:title=""/>
                </v:shape>
                <o:OLEObject Type="Embed" ProgID="Equation.3" ShapeID="_x0000_i1174" DrawAspect="Content" ObjectID="_1439716851" r:id="rId284"/>
              </w:object>
            </w:r>
          </w:p>
        </w:tc>
        <w:tc>
          <w:tcPr>
            <w:tcW w:w="2283" w:type="dxa"/>
            <w:tcBorders>
              <w:top w:val="nil"/>
              <w:left w:val="nil"/>
              <w:bottom w:val="nil"/>
              <w:right w:val="nil"/>
            </w:tcBorders>
            <w:vAlign w:val="center"/>
          </w:tcPr>
          <w:p w14:paraId="6536905D" w14:textId="5A9829EB"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5FB732B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0.667</w:t>
            </w:r>
          </w:p>
        </w:tc>
        <w:tc>
          <w:tcPr>
            <w:tcW w:w="830" w:type="dxa"/>
            <w:tcBorders>
              <w:top w:val="nil"/>
              <w:left w:val="nil"/>
              <w:bottom w:val="nil"/>
              <w:right w:val="nil"/>
            </w:tcBorders>
            <w:shd w:val="clear" w:color="auto" w:fill="auto"/>
            <w:noWrap/>
            <w:vAlign w:val="bottom"/>
            <w:hideMark/>
          </w:tcPr>
          <w:p w14:paraId="1E97B865" w14:textId="3FD4F77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0.299</w:t>
            </w:r>
          </w:p>
        </w:tc>
        <w:tc>
          <w:tcPr>
            <w:tcW w:w="1031" w:type="dxa"/>
            <w:tcBorders>
              <w:top w:val="nil"/>
              <w:left w:val="nil"/>
              <w:bottom w:val="nil"/>
              <w:right w:val="nil"/>
            </w:tcBorders>
            <w:shd w:val="clear" w:color="auto" w:fill="auto"/>
            <w:noWrap/>
            <w:vAlign w:val="bottom"/>
            <w:hideMark/>
          </w:tcPr>
          <w:p w14:paraId="3D89AE78" w14:textId="30DD7E9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0.13</w:t>
            </w:r>
          </w:p>
        </w:tc>
        <w:tc>
          <w:tcPr>
            <w:tcW w:w="990" w:type="dxa"/>
            <w:tcBorders>
              <w:top w:val="nil"/>
              <w:left w:val="nil"/>
              <w:bottom w:val="nil"/>
              <w:right w:val="nil"/>
            </w:tcBorders>
            <w:shd w:val="clear" w:color="auto" w:fill="auto"/>
            <w:noWrap/>
            <w:vAlign w:val="bottom"/>
            <w:hideMark/>
          </w:tcPr>
          <w:p w14:paraId="65F6F8C6" w14:textId="23C0DF8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1.16</w:t>
            </w:r>
          </w:p>
        </w:tc>
      </w:tr>
      <w:tr w:rsidR="00523BB8" w:rsidRPr="005C603E" w14:paraId="384A1993" w14:textId="77777777" w:rsidTr="008014DD">
        <w:trPr>
          <w:trHeight w:val="300"/>
        </w:trPr>
        <w:tc>
          <w:tcPr>
            <w:tcW w:w="2970" w:type="dxa"/>
            <w:tcBorders>
              <w:top w:val="nil"/>
              <w:left w:val="nil"/>
              <w:bottom w:val="nil"/>
              <w:right w:val="nil"/>
            </w:tcBorders>
            <w:shd w:val="clear" w:color="auto" w:fill="auto"/>
            <w:noWrap/>
            <w:vAlign w:val="bottom"/>
          </w:tcPr>
          <w:p w14:paraId="38917B40"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40322A48" w14:textId="2CFC4539"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3A4F0DE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-0.352</w:t>
            </w:r>
          </w:p>
        </w:tc>
        <w:tc>
          <w:tcPr>
            <w:tcW w:w="830" w:type="dxa"/>
            <w:tcBorders>
              <w:top w:val="nil"/>
              <w:left w:val="nil"/>
              <w:bottom w:val="nil"/>
              <w:right w:val="nil"/>
            </w:tcBorders>
            <w:shd w:val="clear" w:color="auto" w:fill="auto"/>
            <w:noWrap/>
            <w:vAlign w:val="bottom"/>
          </w:tcPr>
          <w:p w14:paraId="3871FB10" w14:textId="62FAE34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61E81F5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-0.65</w:t>
            </w:r>
          </w:p>
        </w:tc>
        <w:tc>
          <w:tcPr>
            <w:tcW w:w="990" w:type="dxa"/>
            <w:tcBorders>
              <w:top w:val="nil"/>
              <w:left w:val="nil"/>
              <w:bottom w:val="nil"/>
              <w:right w:val="nil"/>
            </w:tcBorders>
            <w:shd w:val="clear" w:color="auto" w:fill="auto"/>
            <w:noWrap/>
            <w:vAlign w:val="bottom"/>
          </w:tcPr>
          <w:p w14:paraId="6FFC2CA8" w14:textId="235EC58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w:t>
            </w:r>
          </w:p>
        </w:tc>
      </w:tr>
      <w:tr w:rsidR="00523BB8" w:rsidRPr="005C603E" w14:paraId="431F4694" w14:textId="77777777" w:rsidTr="008014DD">
        <w:trPr>
          <w:trHeight w:val="300"/>
        </w:trPr>
        <w:tc>
          <w:tcPr>
            <w:tcW w:w="2970" w:type="dxa"/>
            <w:tcBorders>
              <w:top w:val="nil"/>
              <w:left w:val="nil"/>
              <w:bottom w:val="nil"/>
              <w:right w:val="nil"/>
            </w:tcBorders>
            <w:shd w:val="clear" w:color="auto" w:fill="auto"/>
            <w:noWrap/>
            <w:vAlign w:val="bottom"/>
            <w:hideMark/>
          </w:tcPr>
          <w:p w14:paraId="0DC3EFA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75" type="#_x0000_t75" style="width:25.95pt;height:18.4pt" o:ole="">
                  <v:imagedata r:id="rId239" o:title=""/>
                </v:shape>
                <o:OLEObject Type="Embed" ProgID="Equation.3" ShapeID="_x0000_i1175" DrawAspect="Content" ObjectID="_1439716852" r:id="rId285"/>
              </w:object>
            </w:r>
          </w:p>
        </w:tc>
        <w:tc>
          <w:tcPr>
            <w:tcW w:w="2283" w:type="dxa"/>
            <w:tcBorders>
              <w:top w:val="nil"/>
              <w:left w:val="nil"/>
              <w:bottom w:val="nil"/>
              <w:right w:val="nil"/>
            </w:tcBorders>
            <w:vAlign w:val="center"/>
          </w:tcPr>
          <w:p w14:paraId="30CD8594" w14:textId="268F3DE7"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28032C0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830" w:type="dxa"/>
            <w:tcBorders>
              <w:top w:val="nil"/>
              <w:left w:val="nil"/>
              <w:bottom w:val="nil"/>
              <w:right w:val="nil"/>
            </w:tcBorders>
            <w:shd w:val="clear" w:color="auto" w:fill="auto"/>
            <w:noWrap/>
            <w:vAlign w:val="bottom"/>
            <w:hideMark/>
          </w:tcPr>
          <w:p w14:paraId="6E3FE8F7" w14:textId="20635B3E"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0.067</w:t>
            </w:r>
          </w:p>
        </w:tc>
        <w:tc>
          <w:tcPr>
            <w:tcW w:w="1031" w:type="dxa"/>
            <w:tcBorders>
              <w:top w:val="nil"/>
              <w:left w:val="nil"/>
              <w:bottom w:val="nil"/>
              <w:right w:val="nil"/>
            </w:tcBorders>
            <w:shd w:val="clear" w:color="auto" w:fill="auto"/>
            <w:noWrap/>
            <w:vAlign w:val="bottom"/>
            <w:hideMark/>
          </w:tcPr>
          <w:p w14:paraId="24D940D8" w14:textId="15E52DB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-0.25</w:t>
            </w:r>
          </w:p>
        </w:tc>
        <w:tc>
          <w:tcPr>
            <w:tcW w:w="990" w:type="dxa"/>
            <w:tcBorders>
              <w:top w:val="nil"/>
              <w:left w:val="nil"/>
              <w:bottom w:val="nil"/>
              <w:right w:val="nil"/>
            </w:tcBorders>
            <w:shd w:val="clear" w:color="auto" w:fill="auto"/>
            <w:noWrap/>
            <w:vAlign w:val="bottom"/>
            <w:hideMark/>
          </w:tcPr>
          <w:p w14:paraId="3D9974B6" w14:textId="5C3BB4B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w:t>
            </w:r>
          </w:p>
        </w:tc>
      </w:tr>
      <w:tr w:rsidR="00523BB8" w:rsidRPr="005C603E" w14:paraId="7C1DFFCF" w14:textId="77777777" w:rsidTr="008014DD">
        <w:trPr>
          <w:trHeight w:val="300"/>
        </w:trPr>
        <w:tc>
          <w:tcPr>
            <w:tcW w:w="2970" w:type="dxa"/>
            <w:tcBorders>
              <w:top w:val="nil"/>
              <w:left w:val="nil"/>
              <w:bottom w:val="nil"/>
              <w:right w:val="nil"/>
            </w:tcBorders>
            <w:shd w:val="clear" w:color="auto" w:fill="auto"/>
            <w:noWrap/>
            <w:vAlign w:val="bottom"/>
          </w:tcPr>
          <w:p w14:paraId="21E37B27"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EF84369" w14:textId="0BC3BB81"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669E604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0.090</w:t>
            </w:r>
          </w:p>
        </w:tc>
        <w:tc>
          <w:tcPr>
            <w:tcW w:w="830" w:type="dxa"/>
            <w:tcBorders>
              <w:top w:val="nil"/>
              <w:left w:val="nil"/>
              <w:bottom w:val="nil"/>
              <w:right w:val="nil"/>
            </w:tcBorders>
            <w:shd w:val="clear" w:color="auto" w:fill="auto"/>
            <w:noWrap/>
            <w:vAlign w:val="bottom"/>
          </w:tcPr>
          <w:p w14:paraId="5A4FCEA2" w14:textId="6A8C3F1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0.043</w:t>
            </w:r>
          </w:p>
        </w:tc>
        <w:tc>
          <w:tcPr>
            <w:tcW w:w="1031" w:type="dxa"/>
            <w:tcBorders>
              <w:top w:val="nil"/>
              <w:left w:val="nil"/>
              <w:bottom w:val="nil"/>
              <w:right w:val="nil"/>
            </w:tcBorders>
            <w:shd w:val="clear" w:color="auto" w:fill="auto"/>
            <w:noWrap/>
            <w:vAlign w:val="bottom"/>
          </w:tcPr>
          <w:p w14:paraId="42B6F08C" w14:textId="5F4D5C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c>
          <w:tcPr>
            <w:tcW w:w="990" w:type="dxa"/>
            <w:tcBorders>
              <w:top w:val="nil"/>
              <w:left w:val="nil"/>
              <w:bottom w:val="nil"/>
              <w:right w:val="nil"/>
            </w:tcBorders>
            <w:shd w:val="clear" w:color="auto" w:fill="auto"/>
            <w:noWrap/>
            <w:vAlign w:val="bottom"/>
          </w:tcPr>
          <w:p w14:paraId="7F370093" w14:textId="4BD0BA6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w:t>
            </w:r>
          </w:p>
        </w:tc>
      </w:tr>
      <w:tr w:rsidR="00523BB8" w:rsidRPr="005C603E" w14:paraId="57480A3D" w14:textId="77777777" w:rsidTr="008014DD">
        <w:trPr>
          <w:trHeight w:val="300"/>
        </w:trPr>
        <w:tc>
          <w:tcPr>
            <w:tcW w:w="2970" w:type="dxa"/>
            <w:tcBorders>
              <w:top w:val="nil"/>
              <w:left w:val="nil"/>
              <w:bottom w:val="nil"/>
              <w:right w:val="nil"/>
            </w:tcBorders>
            <w:shd w:val="clear" w:color="auto" w:fill="auto"/>
            <w:noWrap/>
            <w:vAlign w:val="bottom"/>
          </w:tcPr>
          <w:p w14:paraId="17043F55" w14:textId="4AB767AF"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76" type="#_x0000_t75" style="width:26.8pt;height:18.4pt" o:ole="">
                  <v:imagedata r:id="rId286" o:title=""/>
                </v:shape>
                <o:OLEObject Type="Embed" ProgID="Equation.3" ShapeID="_x0000_i1176" DrawAspect="Content" ObjectID="_1439716853" r:id="rId287"/>
              </w:object>
            </w:r>
          </w:p>
        </w:tc>
        <w:tc>
          <w:tcPr>
            <w:tcW w:w="2283" w:type="dxa"/>
            <w:tcBorders>
              <w:top w:val="nil"/>
              <w:left w:val="nil"/>
              <w:bottom w:val="nil"/>
              <w:right w:val="nil"/>
            </w:tcBorders>
            <w:vAlign w:val="center"/>
          </w:tcPr>
          <w:p w14:paraId="18FE6737" w14:textId="7975D89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28E9B75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0.126</w:t>
            </w:r>
          </w:p>
        </w:tc>
        <w:tc>
          <w:tcPr>
            <w:tcW w:w="830" w:type="dxa"/>
            <w:tcBorders>
              <w:top w:val="nil"/>
              <w:left w:val="nil"/>
              <w:bottom w:val="nil"/>
              <w:right w:val="nil"/>
            </w:tcBorders>
            <w:shd w:val="clear" w:color="auto" w:fill="auto"/>
            <w:noWrap/>
            <w:vAlign w:val="bottom"/>
          </w:tcPr>
          <w:p w14:paraId="57D6CB59" w14:textId="5E79CD2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1031" w:type="dxa"/>
            <w:tcBorders>
              <w:top w:val="nil"/>
              <w:left w:val="nil"/>
              <w:bottom w:val="nil"/>
              <w:right w:val="nil"/>
            </w:tcBorders>
            <w:shd w:val="clear" w:color="auto" w:fill="auto"/>
            <w:noWrap/>
            <w:vAlign w:val="bottom"/>
          </w:tcPr>
          <w:p w14:paraId="6643FA42" w14:textId="667C44E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w:t>
            </w:r>
          </w:p>
        </w:tc>
        <w:tc>
          <w:tcPr>
            <w:tcW w:w="990" w:type="dxa"/>
            <w:tcBorders>
              <w:top w:val="nil"/>
              <w:left w:val="nil"/>
              <w:bottom w:val="nil"/>
              <w:right w:val="nil"/>
            </w:tcBorders>
            <w:shd w:val="clear" w:color="auto" w:fill="auto"/>
            <w:noWrap/>
            <w:vAlign w:val="bottom"/>
          </w:tcPr>
          <w:p w14:paraId="58E4A984" w14:textId="6964351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0.37</w:t>
            </w:r>
          </w:p>
        </w:tc>
      </w:tr>
      <w:tr w:rsidR="00EC12B0" w:rsidRPr="005C603E" w14:paraId="16C6A1C6" w14:textId="77777777" w:rsidTr="008014DD">
        <w:trPr>
          <w:trHeight w:val="300"/>
        </w:trPr>
        <w:tc>
          <w:tcPr>
            <w:tcW w:w="2970" w:type="dxa"/>
            <w:tcBorders>
              <w:top w:val="nil"/>
              <w:left w:val="nil"/>
              <w:bottom w:val="nil"/>
              <w:right w:val="nil"/>
            </w:tcBorders>
            <w:shd w:val="clear" w:color="auto" w:fill="auto"/>
            <w:noWrap/>
            <w:vAlign w:val="bottom"/>
          </w:tcPr>
          <w:p w14:paraId="01BDA579" w14:textId="77777777" w:rsidR="00EC12B0" w:rsidRDefault="00EC12B0"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381C83B" w14:textId="25507C78" w:rsidR="00EC12B0" w:rsidRDefault="00EC12B0"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used with users</w:t>
            </w:r>
            <w:r>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04EB5EE6" w14:textId="2974D56F"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54A45167" w14:textId="0C337CB2"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3ED3D0EF" w14:textId="6AFD50BA"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01</w:t>
            </w:r>
          </w:p>
        </w:tc>
        <w:tc>
          <w:tcPr>
            <w:tcW w:w="990" w:type="dxa"/>
            <w:tcBorders>
              <w:top w:val="nil"/>
              <w:left w:val="nil"/>
              <w:bottom w:val="nil"/>
              <w:right w:val="nil"/>
            </w:tcBorders>
            <w:shd w:val="clear" w:color="auto" w:fill="auto"/>
            <w:noWrap/>
            <w:vAlign w:val="bottom"/>
          </w:tcPr>
          <w:p w14:paraId="5F03259B" w14:textId="3A3618A6"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04</w:t>
            </w:r>
          </w:p>
        </w:tc>
      </w:tr>
      <w:tr w:rsidR="00523BB8" w:rsidRPr="005C603E" w14:paraId="325C6541" w14:textId="77777777" w:rsidTr="008014DD">
        <w:trPr>
          <w:trHeight w:val="300"/>
        </w:trPr>
        <w:tc>
          <w:tcPr>
            <w:tcW w:w="2970" w:type="dxa"/>
            <w:tcBorders>
              <w:top w:val="nil"/>
              <w:left w:val="nil"/>
              <w:bottom w:val="nil"/>
              <w:right w:val="nil"/>
            </w:tcBorders>
            <w:shd w:val="clear" w:color="auto" w:fill="auto"/>
            <w:noWrap/>
            <w:vAlign w:val="bottom"/>
            <w:hideMark/>
          </w:tcPr>
          <w:p w14:paraId="25EBA482"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77" type="#_x0000_t75" style="width:25.95pt;height:18.4pt" o:ole="">
                  <v:imagedata r:id="rId288" o:title=""/>
                </v:shape>
                <o:OLEObject Type="Embed" ProgID="Equation.3" ShapeID="_x0000_i1177" DrawAspect="Content" ObjectID="_1439716854" r:id="rId289"/>
              </w:object>
            </w:r>
          </w:p>
        </w:tc>
        <w:tc>
          <w:tcPr>
            <w:tcW w:w="2283" w:type="dxa"/>
            <w:tcBorders>
              <w:top w:val="nil"/>
              <w:left w:val="nil"/>
              <w:bottom w:val="nil"/>
              <w:right w:val="nil"/>
            </w:tcBorders>
            <w:vAlign w:val="center"/>
          </w:tcPr>
          <w:p w14:paraId="5C12CFE3" w14:textId="6E688A1F"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0238F51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0.005</w:t>
            </w:r>
          </w:p>
        </w:tc>
        <w:tc>
          <w:tcPr>
            <w:tcW w:w="830" w:type="dxa"/>
            <w:tcBorders>
              <w:top w:val="nil"/>
              <w:left w:val="nil"/>
              <w:bottom w:val="nil"/>
              <w:right w:val="nil"/>
            </w:tcBorders>
            <w:shd w:val="clear" w:color="auto" w:fill="auto"/>
            <w:noWrap/>
            <w:vAlign w:val="bottom"/>
            <w:hideMark/>
          </w:tcPr>
          <w:p w14:paraId="13031CF6" w14:textId="55FD0A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nil"/>
              <w:right w:val="nil"/>
            </w:tcBorders>
            <w:shd w:val="clear" w:color="auto" w:fill="auto"/>
            <w:noWrap/>
            <w:vAlign w:val="bottom"/>
            <w:hideMark/>
          </w:tcPr>
          <w:p w14:paraId="797ACCCD" w14:textId="2B0F2C2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70FC097" w14:textId="6C55D43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523BB8" w:rsidRPr="005C603E" w14:paraId="527D386E" w14:textId="77777777" w:rsidTr="008014DD">
        <w:trPr>
          <w:trHeight w:val="300"/>
        </w:trPr>
        <w:tc>
          <w:tcPr>
            <w:tcW w:w="2970" w:type="dxa"/>
            <w:tcBorders>
              <w:top w:val="nil"/>
              <w:left w:val="nil"/>
              <w:bottom w:val="nil"/>
              <w:right w:val="nil"/>
            </w:tcBorders>
            <w:shd w:val="clear" w:color="auto" w:fill="auto"/>
            <w:noWrap/>
            <w:vAlign w:val="bottom"/>
          </w:tcPr>
          <w:p w14:paraId="1DA546F5"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89FDE66" w14:textId="182D18D3"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collection follower</w:t>
            </w:r>
            <w:r w:rsidR="008859FD">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5823CE23" w14:textId="1E46D628" w:rsidR="00523BB8" w:rsidRPr="002565A9" w:rsidRDefault="00523BB8" w:rsidP="00391C3A">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391C3A">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70A801CF" w14:textId="383C3056"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1C54BF">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785A4E05" w14:textId="56557F1B" w:rsidR="00523BB8" w:rsidRPr="002565A9" w:rsidRDefault="00391C3A" w:rsidP="00391C3A">
            <w:pPr>
              <w:spacing w:after="0" w:line="240" w:lineRule="auto"/>
              <w:jc w:val="center"/>
              <w:rPr>
                <w:rFonts w:ascii="Times New Roman" w:hAnsi="Times New Roman" w:cs="Times New Roman"/>
                <w:bCs/>
                <w:color w:val="252525"/>
              </w:rPr>
            </w:pPr>
            <w:r>
              <w:rPr>
                <w:rFonts w:ascii="Times New Roman" w:hAnsi="Times New Roman" w:cs="Times New Roman"/>
                <w:bCs/>
                <w:color w:val="252525"/>
              </w:rPr>
              <w:t>-</w:t>
            </w:r>
            <w:r w:rsidR="00523BB8" w:rsidRPr="0070374B">
              <w:rPr>
                <w:rFonts w:ascii="Times New Roman" w:hAnsi="Times New Roman" w:cs="Times New Roman"/>
                <w:bCs/>
                <w:color w:val="252525"/>
              </w:rPr>
              <w:t>0.0</w:t>
            </w:r>
            <w:r w:rsidR="005D34DF">
              <w:rPr>
                <w:rFonts w:ascii="Times New Roman" w:hAnsi="Times New Roman" w:cs="Times New Roman"/>
                <w:bCs/>
                <w:color w:val="252525"/>
              </w:rPr>
              <w:t>0</w:t>
            </w:r>
            <w:r>
              <w:rPr>
                <w:rFonts w:ascii="Times New Roman" w:hAnsi="Times New Roman" w:cs="Times New Roman"/>
                <w:bCs/>
                <w:color w:val="252525"/>
              </w:rPr>
              <w:t>3</w:t>
            </w:r>
          </w:p>
        </w:tc>
        <w:tc>
          <w:tcPr>
            <w:tcW w:w="990" w:type="dxa"/>
            <w:tcBorders>
              <w:top w:val="nil"/>
              <w:left w:val="nil"/>
              <w:bottom w:val="nil"/>
              <w:right w:val="nil"/>
            </w:tcBorders>
            <w:shd w:val="clear" w:color="auto" w:fill="auto"/>
            <w:noWrap/>
            <w:vAlign w:val="bottom"/>
          </w:tcPr>
          <w:p w14:paraId="3B6FFE58" w14:textId="1009AD5E"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sidR="005D34DF">
              <w:rPr>
                <w:rFonts w:ascii="Times New Roman" w:hAnsi="Times New Roman" w:cs="Times New Roman"/>
                <w:bCs/>
                <w:color w:val="252525"/>
              </w:rPr>
              <w:t>0</w:t>
            </w:r>
            <w:r w:rsidR="001C54BF">
              <w:rPr>
                <w:rFonts w:ascii="Times New Roman" w:hAnsi="Times New Roman" w:cs="Times New Roman"/>
                <w:bCs/>
                <w:color w:val="252525"/>
              </w:rPr>
              <w:t>4</w:t>
            </w:r>
          </w:p>
        </w:tc>
      </w:tr>
      <w:tr w:rsidR="00523BB8" w:rsidRPr="005C603E" w14:paraId="4DDD150C" w14:textId="77777777" w:rsidTr="008014DD">
        <w:trPr>
          <w:trHeight w:val="300"/>
        </w:trPr>
        <w:tc>
          <w:tcPr>
            <w:tcW w:w="2970" w:type="dxa"/>
            <w:tcBorders>
              <w:top w:val="nil"/>
              <w:left w:val="nil"/>
              <w:bottom w:val="nil"/>
              <w:right w:val="nil"/>
            </w:tcBorders>
            <w:shd w:val="clear" w:color="auto" w:fill="auto"/>
            <w:noWrap/>
            <w:vAlign w:val="bottom"/>
          </w:tcPr>
          <w:p w14:paraId="0D06DE11" w14:textId="039D0703"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78" type="#_x0000_t75" style="width:13.4pt;height:18.4pt" o:ole="">
                  <v:imagedata r:id="rId290" o:title=""/>
                </v:shape>
                <o:OLEObject Type="Embed" ProgID="Equation.3" ShapeID="_x0000_i1178" DrawAspect="Content" ObjectID="_1439716855" r:id="rId291"/>
              </w:object>
            </w:r>
            <w:r>
              <w:t>)</w:t>
            </w:r>
          </w:p>
        </w:tc>
        <w:tc>
          <w:tcPr>
            <w:tcW w:w="2283" w:type="dxa"/>
            <w:tcBorders>
              <w:top w:val="nil"/>
              <w:left w:val="nil"/>
              <w:bottom w:val="nil"/>
              <w:right w:val="nil"/>
            </w:tcBorders>
            <w:vAlign w:val="center"/>
          </w:tcPr>
          <w:p w14:paraId="5B81D949" w14:textId="091C21C2"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54DF27A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-39.398</w:t>
            </w:r>
          </w:p>
        </w:tc>
        <w:tc>
          <w:tcPr>
            <w:tcW w:w="830" w:type="dxa"/>
            <w:tcBorders>
              <w:top w:val="nil"/>
              <w:left w:val="nil"/>
              <w:bottom w:val="nil"/>
              <w:right w:val="nil"/>
            </w:tcBorders>
            <w:shd w:val="clear" w:color="auto" w:fill="auto"/>
            <w:noWrap/>
            <w:vAlign w:val="bottom"/>
          </w:tcPr>
          <w:p w14:paraId="1C94E80A" w14:textId="283F58C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0.619</w:t>
            </w:r>
          </w:p>
        </w:tc>
        <w:tc>
          <w:tcPr>
            <w:tcW w:w="1031" w:type="dxa"/>
            <w:tcBorders>
              <w:top w:val="nil"/>
              <w:left w:val="nil"/>
              <w:bottom w:val="nil"/>
              <w:right w:val="nil"/>
            </w:tcBorders>
            <w:shd w:val="clear" w:color="auto" w:fill="auto"/>
            <w:noWrap/>
            <w:vAlign w:val="bottom"/>
          </w:tcPr>
          <w:p w14:paraId="17967E68" w14:textId="19979C0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-40.34</w:t>
            </w:r>
          </w:p>
        </w:tc>
        <w:tc>
          <w:tcPr>
            <w:tcW w:w="990" w:type="dxa"/>
            <w:tcBorders>
              <w:top w:val="nil"/>
              <w:left w:val="nil"/>
              <w:bottom w:val="nil"/>
              <w:right w:val="nil"/>
            </w:tcBorders>
            <w:shd w:val="clear" w:color="auto" w:fill="auto"/>
            <w:noWrap/>
            <w:vAlign w:val="bottom"/>
          </w:tcPr>
          <w:p w14:paraId="037C2D28" w14:textId="57DDB67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-38.48</w:t>
            </w:r>
          </w:p>
        </w:tc>
      </w:tr>
      <w:tr w:rsidR="00523BB8" w:rsidRPr="005C603E" w14:paraId="7EF2A027" w14:textId="77777777" w:rsidTr="008014DD">
        <w:trPr>
          <w:trHeight w:val="300"/>
        </w:trPr>
        <w:tc>
          <w:tcPr>
            <w:tcW w:w="2970" w:type="dxa"/>
            <w:tcBorders>
              <w:top w:val="nil"/>
              <w:left w:val="nil"/>
              <w:bottom w:val="nil"/>
              <w:right w:val="nil"/>
            </w:tcBorders>
            <w:shd w:val="clear" w:color="auto" w:fill="auto"/>
            <w:noWrap/>
            <w:vAlign w:val="bottom"/>
          </w:tcPr>
          <w:p w14:paraId="357D4C12"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2DC18CC" w14:textId="36374603" w:rsidR="00523BB8" w:rsidRDefault="00523BB8" w:rsidP="00170BFE">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Photo music category</w:t>
            </w:r>
          </w:p>
        </w:tc>
        <w:tc>
          <w:tcPr>
            <w:tcW w:w="986" w:type="dxa"/>
            <w:tcBorders>
              <w:top w:val="nil"/>
              <w:left w:val="nil"/>
              <w:bottom w:val="nil"/>
              <w:right w:val="nil"/>
            </w:tcBorders>
            <w:shd w:val="clear" w:color="auto" w:fill="auto"/>
            <w:noWrap/>
            <w:vAlign w:val="bottom"/>
          </w:tcPr>
          <w:p w14:paraId="70AFFDCF" w14:textId="43C3025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2AA8D4C7" w14:textId="761E6C7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0.041</w:t>
            </w:r>
          </w:p>
        </w:tc>
        <w:tc>
          <w:tcPr>
            <w:tcW w:w="1031" w:type="dxa"/>
            <w:tcBorders>
              <w:top w:val="nil"/>
              <w:left w:val="nil"/>
              <w:bottom w:val="nil"/>
              <w:right w:val="nil"/>
            </w:tcBorders>
            <w:shd w:val="clear" w:color="auto" w:fill="auto"/>
            <w:noWrap/>
            <w:vAlign w:val="bottom"/>
          </w:tcPr>
          <w:p w14:paraId="29F7A365" w14:textId="5B6F78F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c>
          <w:tcPr>
            <w:tcW w:w="990" w:type="dxa"/>
            <w:tcBorders>
              <w:top w:val="nil"/>
              <w:left w:val="nil"/>
              <w:bottom w:val="nil"/>
              <w:right w:val="nil"/>
            </w:tcBorders>
            <w:shd w:val="clear" w:color="auto" w:fill="auto"/>
            <w:noWrap/>
            <w:vAlign w:val="bottom"/>
          </w:tcPr>
          <w:p w14:paraId="1C443003" w14:textId="060ABB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w:t>
            </w:r>
          </w:p>
        </w:tc>
      </w:tr>
      <w:tr w:rsidR="0070374B" w:rsidRPr="005C603E" w14:paraId="5D3DDA60" w14:textId="77777777" w:rsidTr="0070374B">
        <w:trPr>
          <w:trHeight w:val="300"/>
        </w:trPr>
        <w:tc>
          <w:tcPr>
            <w:tcW w:w="2970" w:type="dxa"/>
            <w:tcBorders>
              <w:top w:val="nil"/>
              <w:left w:val="nil"/>
              <w:bottom w:val="nil"/>
              <w:right w:val="nil"/>
            </w:tcBorders>
            <w:shd w:val="clear" w:color="auto" w:fill="auto"/>
            <w:noWrap/>
            <w:vAlign w:val="bottom"/>
            <w:hideMark/>
          </w:tcPr>
          <w:p w14:paraId="28EAB239"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9" type="#_x0000_t75" style="width:18.4pt;height:16.75pt" o:ole="">
                  <v:imagedata r:id="rId292" o:title=""/>
                </v:shape>
                <o:OLEObject Type="Embed" ProgID="Equation.3" ShapeID="_x0000_i1179" DrawAspect="Content" ObjectID="_1439716856" r:id="rId293"/>
              </w:object>
            </w:r>
          </w:p>
        </w:tc>
        <w:tc>
          <w:tcPr>
            <w:tcW w:w="2283" w:type="dxa"/>
            <w:tcBorders>
              <w:top w:val="nil"/>
              <w:left w:val="nil"/>
              <w:bottom w:val="nil"/>
              <w:right w:val="nil"/>
            </w:tcBorders>
          </w:tcPr>
          <w:p w14:paraId="4EC3FB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4AB12494"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0.013</w:t>
            </w:r>
          </w:p>
        </w:tc>
        <w:tc>
          <w:tcPr>
            <w:tcW w:w="830" w:type="dxa"/>
            <w:tcBorders>
              <w:top w:val="nil"/>
              <w:left w:val="nil"/>
              <w:bottom w:val="nil"/>
              <w:right w:val="nil"/>
            </w:tcBorders>
            <w:shd w:val="clear" w:color="auto" w:fill="auto"/>
            <w:noWrap/>
            <w:vAlign w:val="bottom"/>
            <w:hideMark/>
          </w:tcPr>
          <w:p w14:paraId="19184492" w14:textId="73F82AD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0.003</w:t>
            </w:r>
          </w:p>
        </w:tc>
        <w:tc>
          <w:tcPr>
            <w:tcW w:w="1031" w:type="dxa"/>
            <w:tcBorders>
              <w:top w:val="nil"/>
              <w:left w:val="nil"/>
              <w:bottom w:val="nil"/>
              <w:right w:val="nil"/>
            </w:tcBorders>
            <w:shd w:val="clear" w:color="auto" w:fill="auto"/>
            <w:noWrap/>
            <w:vAlign w:val="bottom"/>
            <w:hideMark/>
          </w:tcPr>
          <w:p w14:paraId="530B50D5" w14:textId="613F8F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428D344" w14:textId="6939729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70374B" w:rsidRPr="005C603E" w14:paraId="5EA8C5E6" w14:textId="77777777" w:rsidTr="0070374B">
        <w:trPr>
          <w:trHeight w:val="300"/>
        </w:trPr>
        <w:tc>
          <w:tcPr>
            <w:tcW w:w="2970" w:type="dxa"/>
            <w:tcBorders>
              <w:top w:val="nil"/>
              <w:left w:val="nil"/>
              <w:bottom w:val="nil"/>
              <w:right w:val="nil"/>
            </w:tcBorders>
            <w:shd w:val="clear" w:color="auto" w:fill="auto"/>
            <w:noWrap/>
            <w:vAlign w:val="bottom"/>
            <w:hideMark/>
          </w:tcPr>
          <w:p w14:paraId="28EF8CB0"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80" type="#_x0000_t75" style="width:20.1pt;height:16.75pt" o:ole="">
                  <v:imagedata r:id="rId294" o:title=""/>
                </v:shape>
                <o:OLEObject Type="Embed" ProgID="Equation.3" ShapeID="_x0000_i1180" DrawAspect="Content" ObjectID="_1439716857" r:id="rId295"/>
              </w:object>
            </w:r>
          </w:p>
        </w:tc>
        <w:tc>
          <w:tcPr>
            <w:tcW w:w="2283" w:type="dxa"/>
            <w:tcBorders>
              <w:top w:val="nil"/>
              <w:left w:val="nil"/>
              <w:bottom w:val="nil"/>
              <w:right w:val="nil"/>
            </w:tcBorders>
          </w:tcPr>
          <w:p w14:paraId="08F5006D"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20EC072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0.636</w:t>
            </w:r>
          </w:p>
        </w:tc>
        <w:tc>
          <w:tcPr>
            <w:tcW w:w="830" w:type="dxa"/>
            <w:tcBorders>
              <w:top w:val="nil"/>
              <w:left w:val="nil"/>
              <w:bottom w:val="nil"/>
              <w:right w:val="nil"/>
            </w:tcBorders>
            <w:shd w:val="clear" w:color="auto" w:fill="auto"/>
            <w:noWrap/>
            <w:vAlign w:val="bottom"/>
            <w:hideMark/>
          </w:tcPr>
          <w:p w14:paraId="2D6BAE48" w14:textId="5FC1D69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0.181</w:t>
            </w:r>
          </w:p>
        </w:tc>
        <w:tc>
          <w:tcPr>
            <w:tcW w:w="1031" w:type="dxa"/>
            <w:tcBorders>
              <w:top w:val="nil"/>
              <w:left w:val="nil"/>
              <w:bottom w:val="nil"/>
              <w:right w:val="nil"/>
            </w:tcBorders>
            <w:shd w:val="clear" w:color="auto" w:fill="auto"/>
            <w:noWrap/>
            <w:vAlign w:val="bottom"/>
            <w:hideMark/>
          </w:tcPr>
          <w:p w14:paraId="1709D6B4" w14:textId="2A55090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0.38</w:t>
            </w:r>
          </w:p>
        </w:tc>
        <w:tc>
          <w:tcPr>
            <w:tcW w:w="990" w:type="dxa"/>
            <w:tcBorders>
              <w:top w:val="nil"/>
              <w:left w:val="nil"/>
              <w:bottom w:val="nil"/>
              <w:right w:val="nil"/>
            </w:tcBorders>
            <w:shd w:val="clear" w:color="auto" w:fill="auto"/>
            <w:noWrap/>
            <w:vAlign w:val="bottom"/>
            <w:hideMark/>
          </w:tcPr>
          <w:p w14:paraId="6F7E62FF" w14:textId="200D134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0.96</w:t>
            </w:r>
          </w:p>
        </w:tc>
      </w:tr>
      <w:tr w:rsidR="0070374B" w:rsidRPr="005C603E" w14:paraId="3CDFC96D" w14:textId="77777777" w:rsidTr="0070374B">
        <w:trPr>
          <w:trHeight w:val="300"/>
        </w:trPr>
        <w:tc>
          <w:tcPr>
            <w:tcW w:w="2970" w:type="dxa"/>
            <w:tcBorders>
              <w:top w:val="nil"/>
              <w:left w:val="nil"/>
              <w:bottom w:val="nil"/>
              <w:right w:val="nil"/>
            </w:tcBorders>
            <w:shd w:val="clear" w:color="auto" w:fill="auto"/>
            <w:noWrap/>
            <w:vAlign w:val="bottom"/>
            <w:hideMark/>
          </w:tcPr>
          <w:p w14:paraId="0BBCECBD"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81" type="#_x0000_t75" style="width:19.25pt;height:18.4pt" o:ole="">
                  <v:imagedata r:id="rId296" o:title=""/>
                </v:shape>
                <o:OLEObject Type="Embed" ProgID="Equation.3" ShapeID="_x0000_i1181" DrawAspect="Content" ObjectID="_1439716858" r:id="rId297"/>
              </w:object>
            </w:r>
          </w:p>
        </w:tc>
        <w:tc>
          <w:tcPr>
            <w:tcW w:w="2283" w:type="dxa"/>
            <w:tcBorders>
              <w:top w:val="nil"/>
              <w:left w:val="nil"/>
              <w:bottom w:val="nil"/>
              <w:right w:val="nil"/>
            </w:tcBorders>
          </w:tcPr>
          <w:p w14:paraId="69D2BC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2B59644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0.849</w:t>
            </w:r>
          </w:p>
        </w:tc>
        <w:tc>
          <w:tcPr>
            <w:tcW w:w="830" w:type="dxa"/>
            <w:tcBorders>
              <w:top w:val="nil"/>
              <w:left w:val="nil"/>
              <w:bottom w:val="nil"/>
              <w:right w:val="nil"/>
            </w:tcBorders>
            <w:shd w:val="clear" w:color="auto" w:fill="auto"/>
            <w:noWrap/>
            <w:vAlign w:val="bottom"/>
            <w:hideMark/>
          </w:tcPr>
          <w:p w14:paraId="3E1ECB8E" w14:textId="65F62F1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0.337</w:t>
            </w:r>
          </w:p>
        </w:tc>
        <w:tc>
          <w:tcPr>
            <w:tcW w:w="1031" w:type="dxa"/>
            <w:tcBorders>
              <w:top w:val="nil"/>
              <w:left w:val="nil"/>
              <w:bottom w:val="nil"/>
              <w:right w:val="nil"/>
            </w:tcBorders>
            <w:shd w:val="clear" w:color="auto" w:fill="auto"/>
            <w:noWrap/>
            <w:vAlign w:val="bottom"/>
            <w:hideMark/>
          </w:tcPr>
          <w:p w14:paraId="3E73DF14" w14:textId="0490E327"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0.43</w:t>
            </w:r>
          </w:p>
        </w:tc>
        <w:tc>
          <w:tcPr>
            <w:tcW w:w="990" w:type="dxa"/>
            <w:tcBorders>
              <w:top w:val="nil"/>
              <w:left w:val="nil"/>
              <w:bottom w:val="nil"/>
              <w:right w:val="nil"/>
            </w:tcBorders>
            <w:shd w:val="clear" w:color="auto" w:fill="auto"/>
            <w:noWrap/>
            <w:vAlign w:val="bottom"/>
            <w:hideMark/>
          </w:tcPr>
          <w:p w14:paraId="7E41C998" w14:textId="1953A2D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1.46</w:t>
            </w:r>
          </w:p>
        </w:tc>
      </w:tr>
      <w:tr w:rsidR="0070374B" w:rsidRPr="005C603E" w14:paraId="3844B03D" w14:textId="77777777" w:rsidTr="0070374B">
        <w:trPr>
          <w:trHeight w:val="300"/>
        </w:trPr>
        <w:tc>
          <w:tcPr>
            <w:tcW w:w="2970" w:type="dxa"/>
            <w:tcBorders>
              <w:top w:val="nil"/>
              <w:left w:val="nil"/>
              <w:bottom w:val="nil"/>
              <w:right w:val="nil"/>
            </w:tcBorders>
            <w:shd w:val="clear" w:color="auto" w:fill="auto"/>
            <w:noWrap/>
            <w:vAlign w:val="bottom"/>
          </w:tcPr>
          <w:p w14:paraId="703F2227" w14:textId="77777777" w:rsidR="0070374B"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82" type="#_x0000_t75" style="width:20.1pt;height:16.75pt" o:ole="">
                  <v:imagedata r:id="rId298" o:title=""/>
                </v:shape>
                <o:OLEObject Type="Embed" ProgID="Equation.3" ShapeID="_x0000_i1182" DrawAspect="Content" ObjectID="_1439716859" r:id="rId299"/>
              </w:object>
            </w:r>
          </w:p>
        </w:tc>
        <w:tc>
          <w:tcPr>
            <w:tcW w:w="2283" w:type="dxa"/>
            <w:tcBorders>
              <w:top w:val="nil"/>
              <w:left w:val="nil"/>
              <w:bottom w:val="nil"/>
              <w:right w:val="nil"/>
            </w:tcBorders>
          </w:tcPr>
          <w:p w14:paraId="410E1DE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424A620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0.052</w:t>
            </w:r>
          </w:p>
        </w:tc>
        <w:tc>
          <w:tcPr>
            <w:tcW w:w="830" w:type="dxa"/>
            <w:tcBorders>
              <w:top w:val="nil"/>
              <w:left w:val="nil"/>
              <w:bottom w:val="nil"/>
              <w:right w:val="nil"/>
            </w:tcBorders>
            <w:shd w:val="clear" w:color="auto" w:fill="auto"/>
            <w:noWrap/>
            <w:vAlign w:val="bottom"/>
          </w:tcPr>
          <w:p w14:paraId="3BFA100E" w14:textId="7670F64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0.020</w:t>
            </w:r>
          </w:p>
        </w:tc>
        <w:tc>
          <w:tcPr>
            <w:tcW w:w="1031" w:type="dxa"/>
            <w:tcBorders>
              <w:top w:val="nil"/>
              <w:left w:val="nil"/>
              <w:bottom w:val="nil"/>
              <w:right w:val="nil"/>
            </w:tcBorders>
            <w:shd w:val="clear" w:color="auto" w:fill="auto"/>
            <w:noWrap/>
            <w:vAlign w:val="bottom"/>
          </w:tcPr>
          <w:p w14:paraId="0346BBE3" w14:textId="2BE1630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0.03</w:t>
            </w:r>
          </w:p>
        </w:tc>
        <w:tc>
          <w:tcPr>
            <w:tcW w:w="990" w:type="dxa"/>
            <w:tcBorders>
              <w:top w:val="nil"/>
              <w:left w:val="nil"/>
              <w:bottom w:val="nil"/>
              <w:right w:val="nil"/>
            </w:tcBorders>
            <w:shd w:val="clear" w:color="auto" w:fill="auto"/>
            <w:noWrap/>
            <w:vAlign w:val="bottom"/>
          </w:tcPr>
          <w:p w14:paraId="4BA29BED" w14:textId="0A8982E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w:t>
            </w:r>
          </w:p>
        </w:tc>
      </w:tr>
      <w:tr w:rsidR="0070374B" w:rsidRPr="005C603E" w14:paraId="1A37F571" w14:textId="77777777" w:rsidTr="0070374B">
        <w:trPr>
          <w:trHeight w:val="300"/>
        </w:trPr>
        <w:tc>
          <w:tcPr>
            <w:tcW w:w="2970" w:type="dxa"/>
            <w:tcBorders>
              <w:top w:val="nil"/>
              <w:left w:val="nil"/>
              <w:bottom w:val="nil"/>
              <w:right w:val="nil"/>
            </w:tcBorders>
            <w:shd w:val="clear" w:color="auto" w:fill="auto"/>
            <w:noWrap/>
            <w:vAlign w:val="bottom"/>
          </w:tcPr>
          <w:p w14:paraId="661E4531" w14:textId="7E4E6C0B"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83" type="#_x0000_t75" style="width:19.25pt;height:18.4pt" o:ole="">
                  <v:imagedata r:id="rId300" o:title=""/>
                </v:shape>
                <o:OLEObject Type="Embed" ProgID="Equation.3" ShapeID="_x0000_i1183" DrawAspect="Content" ObjectID="_1439716860" r:id="rId301"/>
              </w:object>
            </w:r>
          </w:p>
        </w:tc>
        <w:tc>
          <w:tcPr>
            <w:tcW w:w="2283" w:type="dxa"/>
            <w:tcBorders>
              <w:top w:val="nil"/>
              <w:left w:val="nil"/>
              <w:bottom w:val="nil"/>
              <w:right w:val="nil"/>
            </w:tcBorders>
          </w:tcPr>
          <w:p w14:paraId="325155E6"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074726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248A97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50DDB2D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c>
          <w:tcPr>
            <w:tcW w:w="990" w:type="dxa"/>
            <w:tcBorders>
              <w:top w:val="nil"/>
              <w:left w:val="nil"/>
              <w:bottom w:val="nil"/>
              <w:right w:val="nil"/>
            </w:tcBorders>
            <w:shd w:val="clear" w:color="auto" w:fill="auto"/>
            <w:noWrap/>
            <w:vAlign w:val="bottom"/>
          </w:tcPr>
          <w:p w14:paraId="1479A83D" w14:textId="0800221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r>
      <w:tr w:rsidR="0070374B" w:rsidRPr="005C603E" w14:paraId="7DDA6366" w14:textId="77777777" w:rsidTr="0070374B">
        <w:trPr>
          <w:trHeight w:val="300"/>
        </w:trPr>
        <w:tc>
          <w:tcPr>
            <w:tcW w:w="2970" w:type="dxa"/>
            <w:tcBorders>
              <w:top w:val="nil"/>
              <w:left w:val="nil"/>
              <w:bottom w:val="nil"/>
              <w:right w:val="nil"/>
            </w:tcBorders>
            <w:shd w:val="clear" w:color="auto" w:fill="auto"/>
            <w:noWrap/>
            <w:vAlign w:val="bottom"/>
          </w:tcPr>
          <w:p w14:paraId="6FCFBC40" w14:textId="0D2F376E"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84" type="#_x0000_t75" style="width:20.1pt;height:18.4pt" o:ole="">
                  <v:imagedata r:id="rId302" o:title=""/>
                </v:shape>
                <o:OLEObject Type="Embed" ProgID="Equation.3" ShapeID="_x0000_i1184" DrawAspect="Content" ObjectID="_1439716861" r:id="rId303"/>
              </w:object>
            </w:r>
          </w:p>
        </w:tc>
        <w:tc>
          <w:tcPr>
            <w:tcW w:w="2283" w:type="dxa"/>
            <w:tcBorders>
              <w:top w:val="nil"/>
              <w:left w:val="nil"/>
              <w:bottom w:val="nil"/>
              <w:right w:val="nil"/>
            </w:tcBorders>
          </w:tcPr>
          <w:p w14:paraId="0F75D90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142BB539"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0.002</w:t>
            </w:r>
          </w:p>
        </w:tc>
        <w:tc>
          <w:tcPr>
            <w:tcW w:w="830" w:type="dxa"/>
            <w:tcBorders>
              <w:top w:val="nil"/>
              <w:left w:val="nil"/>
              <w:bottom w:val="nil"/>
              <w:right w:val="nil"/>
            </w:tcBorders>
            <w:shd w:val="clear" w:color="auto" w:fill="auto"/>
            <w:noWrap/>
            <w:vAlign w:val="bottom"/>
          </w:tcPr>
          <w:p w14:paraId="19A14827" w14:textId="42D9D2BE"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5B59C0AE" w14:textId="0D50D58A"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nil"/>
              <w:right w:val="nil"/>
            </w:tcBorders>
            <w:shd w:val="clear" w:color="auto" w:fill="auto"/>
            <w:noWrap/>
            <w:vAlign w:val="bottom"/>
          </w:tcPr>
          <w:p w14:paraId="1D41BC1D" w14:textId="775A0CBB"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r>
      <w:tr w:rsidR="0070374B" w:rsidRPr="005C603E" w14:paraId="11849522" w14:textId="77777777" w:rsidTr="0070374B">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0374B" w:rsidRPr="005C603E" w:rsidRDefault="0070374B"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85" type="#_x0000_t75" style="width:20.1pt;height:18.4pt" o:ole="">
                  <v:imagedata r:id="rId304" o:title=""/>
                </v:shape>
                <o:OLEObject Type="Embed" ProgID="Equation.3" ShapeID="_x0000_i1185" DrawAspect="Content" ObjectID="_1439716862" r:id="rId305"/>
              </w:object>
            </w:r>
          </w:p>
        </w:tc>
        <w:tc>
          <w:tcPr>
            <w:tcW w:w="2283" w:type="dxa"/>
            <w:tcBorders>
              <w:top w:val="nil"/>
              <w:left w:val="nil"/>
              <w:bottom w:val="single" w:sz="4" w:space="0" w:color="auto"/>
              <w:right w:val="nil"/>
            </w:tcBorders>
          </w:tcPr>
          <w:p w14:paraId="660A30CC"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142DB5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830" w:type="dxa"/>
            <w:tcBorders>
              <w:top w:val="nil"/>
              <w:left w:val="nil"/>
              <w:bottom w:val="single" w:sz="4" w:space="0" w:color="auto"/>
              <w:right w:val="nil"/>
            </w:tcBorders>
            <w:shd w:val="clear" w:color="auto" w:fill="auto"/>
            <w:noWrap/>
            <w:vAlign w:val="bottom"/>
            <w:hideMark/>
          </w:tcPr>
          <w:p w14:paraId="6023411E" w14:textId="32934B5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single" w:sz="4" w:space="0" w:color="auto"/>
              <w:right w:val="nil"/>
            </w:tcBorders>
            <w:shd w:val="clear" w:color="auto" w:fill="auto"/>
            <w:noWrap/>
            <w:vAlign w:val="bottom"/>
            <w:hideMark/>
          </w:tcPr>
          <w:p w14:paraId="4386155B" w14:textId="3078D7F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single" w:sz="4" w:space="0" w:color="auto"/>
              <w:right w:val="nil"/>
            </w:tcBorders>
            <w:shd w:val="clear" w:color="auto" w:fill="auto"/>
            <w:noWrap/>
            <w:vAlign w:val="bottom"/>
            <w:hideMark/>
          </w:tcPr>
          <w:p w14:paraId="09EE2EC3" w14:textId="2E4EA0C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r w:rsidR="00B93D8A">
        <w:fldChar w:fldCharType="begin"/>
      </w:r>
      <w:r w:rsidR="00B93D8A">
        <w:instrText xml:space="preserve"> SEQ Figure \* ARABIC </w:instrText>
      </w:r>
      <w:r w:rsidR="00B93D8A">
        <w:fldChar w:fldCharType="separate"/>
      </w:r>
      <w:r w:rsidR="006C06CC">
        <w:rPr>
          <w:noProof/>
        </w:rPr>
        <w:t>7</w:t>
      </w:r>
      <w:r w:rsidR="00B93D8A">
        <w:rPr>
          <w:noProof/>
        </w:rPr>
        <w:fldChar w:fldCharType="end"/>
      </w:r>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rsidR="00B93D8A">
        <w:fldChar w:fldCharType="begin"/>
      </w:r>
      <w:r w:rsidR="00B93D8A">
        <w:instrText xml:space="preserve"> SEQ Figure \* ARABIC </w:instrText>
      </w:r>
      <w:r w:rsidR="00B93D8A">
        <w:fldChar w:fldCharType="separate"/>
      </w:r>
      <w:r w:rsidR="006C06CC">
        <w:rPr>
          <w:noProof/>
        </w:rPr>
        <w:t>8</w:t>
      </w:r>
      <w:r w:rsidR="00B93D8A">
        <w:rPr>
          <w:noProof/>
        </w:rP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r w:rsidR="00B93D8A">
        <w:fldChar w:fldCharType="begin"/>
      </w:r>
      <w:r w:rsidR="00B93D8A">
        <w:instrText xml:space="preserve"> SEQ Figure \* ARABIC </w:instrText>
      </w:r>
      <w:r w:rsidR="00B93D8A">
        <w:fldChar w:fldCharType="separate"/>
      </w:r>
      <w:r w:rsidR="006C06CC">
        <w:rPr>
          <w:noProof/>
        </w:rPr>
        <w:t>9</w:t>
      </w:r>
      <w:r w:rsidR="00B93D8A">
        <w:rPr>
          <w:noProof/>
        </w:rP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r w:rsidR="00B93D8A">
        <w:fldChar w:fldCharType="begin"/>
      </w:r>
      <w:r w:rsidR="00B93D8A">
        <w:instrText xml:space="preserve"> SEQ Figure \* ARABIC </w:instrText>
      </w:r>
      <w:r w:rsidR="00B93D8A">
        <w:fldChar w:fldCharType="separate"/>
      </w:r>
      <w:r w:rsidR="006C06CC">
        <w:rPr>
          <w:noProof/>
        </w:rPr>
        <w:t>10</w:t>
      </w:r>
      <w:r w:rsidR="00B93D8A">
        <w:rPr>
          <w:noProof/>
        </w:rP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F8341" w14:textId="77777777" w:rsidR="00B93D8A" w:rsidRDefault="00B93D8A" w:rsidP="00A3205F">
      <w:pPr>
        <w:spacing w:after="0" w:line="240" w:lineRule="auto"/>
      </w:pPr>
      <w:r>
        <w:separator/>
      </w:r>
    </w:p>
  </w:endnote>
  <w:endnote w:type="continuationSeparator" w:id="0">
    <w:p w14:paraId="693AC13C" w14:textId="77777777" w:rsidR="00B93D8A" w:rsidRDefault="00B93D8A"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C618B0">
      <w:rPr>
        <w:rStyle w:val="PageNumber"/>
        <w:rFonts w:ascii="Times New Roman" w:hAnsi="Times New Roman" w:cs="Times New Roman"/>
        <w:noProof/>
        <w:sz w:val="18"/>
        <w:szCs w:val="18"/>
      </w:rPr>
      <w:t>31</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4DC00" w14:textId="77777777" w:rsidR="00B93D8A" w:rsidRDefault="00B93D8A" w:rsidP="00A3205F">
      <w:pPr>
        <w:spacing w:after="0" w:line="240" w:lineRule="auto"/>
      </w:pPr>
      <w:r>
        <w:separator/>
      </w:r>
    </w:p>
  </w:footnote>
  <w:footnote w:type="continuationSeparator" w:id="0">
    <w:p w14:paraId="2F5BF0B5" w14:textId="77777777" w:rsidR="00B93D8A" w:rsidRDefault="00B93D8A"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4932"/>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162E"/>
    <w:rsid w:val="000526F5"/>
    <w:rsid w:val="000531BE"/>
    <w:rsid w:val="00054194"/>
    <w:rsid w:val="00054626"/>
    <w:rsid w:val="000546D3"/>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A7E13"/>
    <w:rsid w:val="000B0E52"/>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F14"/>
    <w:rsid w:val="000F4854"/>
    <w:rsid w:val="000F4BF8"/>
    <w:rsid w:val="000F59B4"/>
    <w:rsid w:val="000F5A52"/>
    <w:rsid w:val="000F65D5"/>
    <w:rsid w:val="000F6D39"/>
    <w:rsid w:val="000F6D5F"/>
    <w:rsid w:val="000F710A"/>
    <w:rsid w:val="000F7507"/>
    <w:rsid w:val="000F77D6"/>
    <w:rsid w:val="000F79D8"/>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04E"/>
    <w:rsid w:val="001105DD"/>
    <w:rsid w:val="00111296"/>
    <w:rsid w:val="001114FC"/>
    <w:rsid w:val="00112B15"/>
    <w:rsid w:val="0011324F"/>
    <w:rsid w:val="0011368E"/>
    <w:rsid w:val="001137FE"/>
    <w:rsid w:val="00113FD2"/>
    <w:rsid w:val="001147C6"/>
    <w:rsid w:val="00114BFA"/>
    <w:rsid w:val="0011515F"/>
    <w:rsid w:val="00115FA9"/>
    <w:rsid w:val="00117319"/>
    <w:rsid w:val="00117889"/>
    <w:rsid w:val="00117C23"/>
    <w:rsid w:val="00120823"/>
    <w:rsid w:val="00121D8A"/>
    <w:rsid w:val="001220A5"/>
    <w:rsid w:val="0012230D"/>
    <w:rsid w:val="0012296A"/>
    <w:rsid w:val="00122D7E"/>
    <w:rsid w:val="00123723"/>
    <w:rsid w:val="001238DE"/>
    <w:rsid w:val="00123F5E"/>
    <w:rsid w:val="0012460E"/>
    <w:rsid w:val="00124708"/>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6A0"/>
    <w:rsid w:val="001869B2"/>
    <w:rsid w:val="00186E88"/>
    <w:rsid w:val="0019025D"/>
    <w:rsid w:val="001905E9"/>
    <w:rsid w:val="00192AFE"/>
    <w:rsid w:val="0019322D"/>
    <w:rsid w:val="001936C3"/>
    <w:rsid w:val="00193A34"/>
    <w:rsid w:val="00194399"/>
    <w:rsid w:val="0019588C"/>
    <w:rsid w:val="00195B1E"/>
    <w:rsid w:val="001961C8"/>
    <w:rsid w:val="0019674C"/>
    <w:rsid w:val="001968FB"/>
    <w:rsid w:val="00196F26"/>
    <w:rsid w:val="0019760A"/>
    <w:rsid w:val="001A0538"/>
    <w:rsid w:val="001A0AC0"/>
    <w:rsid w:val="001A0F51"/>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468"/>
    <w:rsid w:val="001B6968"/>
    <w:rsid w:val="001B7966"/>
    <w:rsid w:val="001C10C7"/>
    <w:rsid w:val="001C1CEF"/>
    <w:rsid w:val="001C1FC1"/>
    <w:rsid w:val="001C24B4"/>
    <w:rsid w:val="001C2BBF"/>
    <w:rsid w:val="001C3A7E"/>
    <w:rsid w:val="001C3EC0"/>
    <w:rsid w:val="001C53B3"/>
    <w:rsid w:val="001C54BF"/>
    <w:rsid w:val="001C64FF"/>
    <w:rsid w:val="001C66ED"/>
    <w:rsid w:val="001C69BA"/>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378"/>
    <w:rsid w:val="001E0EAC"/>
    <w:rsid w:val="001E1E18"/>
    <w:rsid w:val="001E1FA7"/>
    <w:rsid w:val="001E25D0"/>
    <w:rsid w:val="001E2775"/>
    <w:rsid w:val="001E2849"/>
    <w:rsid w:val="001E2F9F"/>
    <w:rsid w:val="001E3266"/>
    <w:rsid w:val="001E3620"/>
    <w:rsid w:val="001E378A"/>
    <w:rsid w:val="001E395E"/>
    <w:rsid w:val="001E409E"/>
    <w:rsid w:val="001E431C"/>
    <w:rsid w:val="001E50BC"/>
    <w:rsid w:val="001E589B"/>
    <w:rsid w:val="001E6D59"/>
    <w:rsid w:val="001F071F"/>
    <w:rsid w:val="001F0B16"/>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7B2"/>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77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4AAC"/>
    <w:rsid w:val="0026694B"/>
    <w:rsid w:val="00266FE6"/>
    <w:rsid w:val="002675C3"/>
    <w:rsid w:val="0026774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1EDF"/>
    <w:rsid w:val="002831F4"/>
    <w:rsid w:val="00284F21"/>
    <w:rsid w:val="002862B2"/>
    <w:rsid w:val="00290C1D"/>
    <w:rsid w:val="00290D5F"/>
    <w:rsid w:val="00291066"/>
    <w:rsid w:val="00291281"/>
    <w:rsid w:val="0029179F"/>
    <w:rsid w:val="00292AB5"/>
    <w:rsid w:val="00293B38"/>
    <w:rsid w:val="00293C39"/>
    <w:rsid w:val="00294ED0"/>
    <w:rsid w:val="0029536A"/>
    <w:rsid w:val="0029582D"/>
    <w:rsid w:val="002961BD"/>
    <w:rsid w:val="0029678E"/>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4AF"/>
    <w:rsid w:val="002C2ECB"/>
    <w:rsid w:val="002C3874"/>
    <w:rsid w:val="002C393B"/>
    <w:rsid w:val="002C4DBD"/>
    <w:rsid w:val="002C5662"/>
    <w:rsid w:val="002C5DBC"/>
    <w:rsid w:val="002C5EE4"/>
    <w:rsid w:val="002C5FE9"/>
    <w:rsid w:val="002C6535"/>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1FD7"/>
    <w:rsid w:val="002E26BF"/>
    <w:rsid w:val="002E410F"/>
    <w:rsid w:val="002E4F70"/>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AD8"/>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37079"/>
    <w:rsid w:val="00337DC9"/>
    <w:rsid w:val="00340F87"/>
    <w:rsid w:val="0034109F"/>
    <w:rsid w:val="003415B3"/>
    <w:rsid w:val="0034298F"/>
    <w:rsid w:val="0034305D"/>
    <w:rsid w:val="0034389A"/>
    <w:rsid w:val="00343C76"/>
    <w:rsid w:val="00343FB3"/>
    <w:rsid w:val="00344008"/>
    <w:rsid w:val="00345BD5"/>
    <w:rsid w:val="003461D9"/>
    <w:rsid w:val="003467D5"/>
    <w:rsid w:val="00347362"/>
    <w:rsid w:val="00347365"/>
    <w:rsid w:val="003475B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A3E"/>
    <w:rsid w:val="00366CB6"/>
    <w:rsid w:val="0036770B"/>
    <w:rsid w:val="00367B2F"/>
    <w:rsid w:val="00367D91"/>
    <w:rsid w:val="003705C7"/>
    <w:rsid w:val="003718F9"/>
    <w:rsid w:val="003724D4"/>
    <w:rsid w:val="00372902"/>
    <w:rsid w:val="003730AE"/>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97B07"/>
    <w:rsid w:val="003A014F"/>
    <w:rsid w:val="003A033B"/>
    <w:rsid w:val="003A0633"/>
    <w:rsid w:val="003A12F8"/>
    <w:rsid w:val="003A1DFF"/>
    <w:rsid w:val="003A2362"/>
    <w:rsid w:val="003A3392"/>
    <w:rsid w:val="003A40D0"/>
    <w:rsid w:val="003A4146"/>
    <w:rsid w:val="003A4FDF"/>
    <w:rsid w:val="003B0416"/>
    <w:rsid w:val="003B0422"/>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4B5D"/>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31"/>
    <w:rsid w:val="003F4FD6"/>
    <w:rsid w:val="003F566E"/>
    <w:rsid w:val="003F616D"/>
    <w:rsid w:val="003F6419"/>
    <w:rsid w:val="003F66E9"/>
    <w:rsid w:val="003F67CC"/>
    <w:rsid w:val="003F6982"/>
    <w:rsid w:val="003F75EC"/>
    <w:rsid w:val="003F77D3"/>
    <w:rsid w:val="003F7A40"/>
    <w:rsid w:val="003F7E54"/>
    <w:rsid w:val="00400413"/>
    <w:rsid w:val="00401EB3"/>
    <w:rsid w:val="0040204A"/>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34C0"/>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503"/>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4C33"/>
    <w:rsid w:val="00485042"/>
    <w:rsid w:val="00485086"/>
    <w:rsid w:val="004860D2"/>
    <w:rsid w:val="00486115"/>
    <w:rsid w:val="00486595"/>
    <w:rsid w:val="004866A3"/>
    <w:rsid w:val="00486B07"/>
    <w:rsid w:val="0048768D"/>
    <w:rsid w:val="004878A1"/>
    <w:rsid w:val="0049121A"/>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1D5A"/>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424"/>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6A27"/>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615"/>
    <w:rsid w:val="0050613A"/>
    <w:rsid w:val="005061B8"/>
    <w:rsid w:val="0050765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8B2"/>
    <w:rsid w:val="005178C5"/>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AB"/>
    <w:rsid w:val="005357E5"/>
    <w:rsid w:val="00535919"/>
    <w:rsid w:val="0053662B"/>
    <w:rsid w:val="00536DEB"/>
    <w:rsid w:val="0053731D"/>
    <w:rsid w:val="0054054E"/>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EE"/>
    <w:rsid w:val="0055513B"/>
    <w:rsid w:val="00555B27"/>
    <w:rsid w:val="00556B57"/>
    <w:rsid w:val="00556CB6"/>
    <w:rsid w:val="00556E5C"/>
    <w:rsid w:val="00557394"/>
    <w:rsid w:val="00557FAF"/>
    <w:rsid w:val="005603DF"/>
    <w:rsid w:val="0056093B"/>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5DD5"/>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CA9"/>
    <w:rsid w:val="005A2E4C"/>
    <w:rsid w:val="005A2FD6"/>
    <w:rsid w:val="005A314F"/>
    <w:rsid w:val="005A3830"/>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1CCA"/>
    <w:rsid w:val="005B2687"/>
    <w:rsid w:val="005B299E"/>
    <w:rsid w:val="005B492B"/>
    <w:rsid w:val="005B622B"/>
    <w:rsid w:val="005B628A"/>
    <w:rsid w:val="005B7A6B"/>
    <w:rsid w:val="005B7E27"/>
    <w:rsid w:val="005B7FCC"/>
    <w:rsid w:val="005C0173"/>
    <w:rsid w:val="005C041C"/>
    <w:rsid w:val="005C0811"/>
    <w:rsid w:val="005C23D3"/>
    <w:rsid w:val="005C2A9C"/>
    <w:rsid w:val="005C2EE7"/>
    <w:rsid w:val="005C38ED"/>
    <w:rsid w:val="005C4DEB"/>
    <w:rsid w:val="005C519B"/>
    <w:rsid w:val="005C5FD8"/>
    <w:rsid w:val="005C603E"/>
    <w:rsid w:val="005C6309"/>
    <w:rsid w:val="005C678B"/>
    <w:rsid w:val="005D05C8"/>
    <w:rsid w:val="005D0C63"/>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32C"/>
    <w:rsid w:val="005E66A6"/>
    <w:rsid w:val="005E6F17"/>
    <w:rsid w:val="005E7144"/>
    <w:rsid w:val="005E727B"/>
    <w:rsid w:val="005E74CC"/>
    <w:rsid w:val="005E7734"/>
    <w:rsid w:val="005E7DF4"/>
    <w:rsid w:val="005F0B26"/>
    <w:rsid w:val="005F1FF3"/>
    <w:rsid w:val="005F27DD"/>
    <w:rsid w:val="005F28C0"/>
    <w:rsid w:val="005F3197"/>
    <w:rsid w:val="005F3476"/>
    <w:rsid w:val="005F3C58"/>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211"/>
    <w:rsid w:val="006044AF"/>
    <w:rsid w:val="00605C89"/>
    <w:rsid w:val="00606E75"/>
    <w:rsid w:val="00606F63"/>
    <w:rsid w:val="00607662"/>
    <w:rsid w:val="00612E85"/>
    <w:rsid w:val="00612F1A"/>
    <w:rsid w:val="006130D1"/>
    <w:rsid w:val="006134DB"/>
    <w:rsid w:val="006146F2"/>
    <w:rsid w:val="006156B9"/>
    <w:rsid w:val="006156BB"/>
    <w:rsid w:val="0061572F"/>
    <w:rsid w:val="00615F76"/>
    <w:rsid w:val="006167E8"/>
    <w:rsid w:val="00616EF8"/>
    <w:rsid w:val="00617005"/>
    <w:rsid w:val="0061758E"/>
    <w:rsid w:val="00617AE8"/>
    <w:rsid w:val="0062075B"/>
    <w:rsid w:val="00620830"/>
    <w:rsid w:val="006213C1"/>
    <w:rsid w:val="00621762"/>
    <w:rsid w:val="00621EB0"/>
    <w:rsid w:val="00621EED"/>
    <w:rsid w:val="00622435"/>
    <w:rsid w:val="00622D17"/>
    <w:rsid w:val="00622D9E"/>
    <w:rsid w:val="0062495F"/>
    <w:rsid w:val="006249FB"/>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5FE"/>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54F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4979"/>
    <w:rsid w:val="006966DF"/>
    <w:rsid w:val="00696AE6"/>
    <w:rsid w:val="00696DFC"/>
    <w:rsid w:val="0069705F"/>
    <w:rsid w:val="006A00A9"/>
    <w:rsid w:val="006A0773"/>
    <w:rsid w:val="006A13F1"/>
    <w:rsid w:val="006A1A4B"/>
    <w:rsid w:val="006A1A7A"/>
    <w:rsid w:val="006A1F60"/>
    <w:rsid w:val="006A205A"/>
    <w:rsid w:val="006A2D29"/>
    <w:rsid w:val="006A31C0"/>
    <w:rsid w:val="006A31F8"/>
    <w:rsid w:val="006A3214"/>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575B"/>
    <w:rsid w:val="006B59F0"/>
    <w:rsid w:val="006B60E0"/>
    <w:rsid w:val="006B63EE"/>
    <w:rsid w:val="006B67A6"/>
    <w:rsid w:val="006B69E7"/>
    <w:rsid w:val="006B6F1D"/>
    <w:rsid w:val="006B7379"/>
    <w:rsid w:val="006C06CC"/>
    <w:rsid w:val="006C09AB"/>
    <w:rsid w:val="006C1E6B"/>
    <w:rsid w:val="006C26AF"/>
    <w:rsid w:val="006C28DD"/>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49F0"/>
    <w:rsid w:val="006E5105"/>
    <w:rsid w:val="006E56FF"/>
    <w:rsid w:val="006E597A"/>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4CE"/>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3A1B"/>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0BD1"/>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041"/>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134"/>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189"/>
    <w:rsid w:val="007B1C9B"/>
    <w:rsid w:val="007B285A"/>
    <w:rsid w:val="007B299D"/>
    <w:rsid w:val="007B2A67"/>
    <w:rsid w:val="007B2BCE"/>
    <w:rsid w:val="007B2C49"/>
    <w:rsid w:val="007B3A59"/>
    <w:rsid w:val="007B443C"/>
    <w:rsid w:val="007B4607"/>
    <w:rsid w:val="007B4B40"/>
    <w:rsid w:val="007B5680"/>
    <w:rsid w:val="007B5EF8"/>
    <w:rsid w:val="007B6369"/>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8E7"/>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21F5"/>
    <w:rsid w:val="00802448"/>
    <w:rsid w:val="0080257E"/>
    <w:rsid w:val="008027B2"/>
    <w:rsid w:val="008028B5"/>
    <w:rsid w:val="00802A2F"/>
    <w:rsid w:val="00802CAF"/>
    <w:rsid w:val="008033A7"/>
    <w:rsid w:val="00804160"/>
    <w:rsid w:val="00804A57"/>
    <w:rsid w:val="00804B99"/>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2776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515"/>
    <w:rsid w:val="0085097A"/>
    <w:rsid w:val="008519EC"/>
    <w:rsid w:val="00851EDA"/>
    <w:rsid w:val="008523AD"/>
    <w:rsid w:val="008523C6"/>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726"/>
    <w:rsid w:val="00894F3E"/>
    <w:rsid w:val="00895638"/>
    <w:rsid w:val="008956D0"/>
    <w:rsid w:val="00895A9E"/>
    <w:rsid w:val="00895ABE"/>
    <w:rsid w:val="00895BD8"/>
    <w:rsid w:val="00895E82"/>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2CFE"/>
    <w:rsid w:val="008B31FE"/>
    <w:rsid w:val="008B340C"/>
    <w:rsid w:val="008B36D8"/>
    <w:rsid w:val="008B39E6"/>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4CE1"/>
    <w:rsid w:val="008D54D5"/>
    <w:rsid w:val="008D57B2"/>
    <w:rsid w:val="008D5BDD"/>
    <w:rsid w:val="008D643F"/>
    <w:rsid w:val="008D6E07"/>
    <w:rsid w:val="008D6ED6"/>
    <w:rsid w:val="008D71AE"/>
    <w:rsid w:val="008D798D"/>
    <w:rsid w:val="008D7BD1"/>
    <w:rsid w:val="008D7CC8"/>
    <w:rsid w:val="008E0001"/>
    <w:rsid w:val="008E05AD"/>
    <w:rsid w:val="008E0B41"/>
    <w:rsid w:val="008E0DFB"/>
    <w:rsid w:val="008E0E46"/>
    <w:rsid w:val="008E1062"/>
    <w:rsid w:val="008E1229"/>
    <w:rsid w:val="008E1AE1"/>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637E"/>
    <w:rsid w:val="00906434"/>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0F42"/>
    <w:rsid w:val="00951887"/>
    <w:rsid w:val="009518F1"/>
    <w:rsid w:val="00951E8F"/>
    <w:rsid w:val="009522F8"/>
    <w:rsid w:val="009525D7"/>
    <w:rsid w:val="00952B66"/>
    <w:rsid w:val="009530CE"/>
    <w:rsid w:val="009532E1"/>
    <w:rsid w:val="00953894"/>
    <w:rsid w:val="00953B18"/>
    <w:rsid w:val="00954559"/>
    <w:rsid w:val="00954E9F"/>
    <w:rsid w:val="0095583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87DD2"/>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20C"/>
    <w:rsid w:val="009A7588"/>
    <w:rsid w:val="009A76E5"/>
    <w:rsid w:val="009A7890"/>
    <w:rsid w:val="009B05B8"/>
    <w:rsid w:val="009B10AB"/>
    <w:rsid w:val="009B11C7"/>
    <w:rsid w:val="009B1ECE"/>
    <w:rsid w:val="009B32F9"/>
    <w:rsid w:val="009B3DFD"/>
    <w:rsid w:val="009B3F27"/>
    <w:rsid w:val="009B3F5F"/>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7F0"/>
    <w:rsid w:val="009C5013"/>
    <w:rsid w:val="009C50D4"/>
    <w:rsid w:val="009C566E"/>
    <w:rsid w:val="009C56FC"/>
    <w:rsid w:val="009C5818"/>
    <w:rsid w:val="009C5B6B"/>
    <w:rsid w:val="009C5E1D"/>
    <w:rsid w:val="009C6201"/>
    <w:rsid w:val="009C66E4"/>
    <w:rsid w:val="009C684F"/>
    <w:rsid w:val="009C695D"/>
    <w:rsid w:val="009C69A8"/>
    <w:rsid w:val="009C6BD0"/>
    <w:rsid w:val="009C7A79"/>
    <w:rsid w:val="009D0076"/>
    <w:rsid w:val="009D141C"/>
    <w:rsid w:val="009D18BA"/>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113"/>
    <w:rsid w:val="009D74F2"/>
    <w:rsid w:val="009D7642"/>
    <w:rsid w:val="009D7D56"/>
    <w:rsid w:val="009D7E30"/>
    <w:rsid w:val="009E02A5"/>
    <w:rsid w:val="009E03E0"/>
    <w:rsid w:val="009E08F9"/>
    <w:rsid w:val="009E21C4"/>
    <w:rsid w:val="009E2535"/>
    <w:rsid w:val="009E26C5"/>
    <w:rsid w:val="009E294E"/>
    <w:rsid w:val="009E3581"/>
    <w:rsid w:val="009E4CFE"/>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8E0"/>
    <w:rsid w:val="00A2694C"/>
    <w:rsid w:val="00A269A6"/>
    <w:rsid w:val="00A269B3"/>
    <w:rsid w:val="00A26CB8"/>
    <w:rsid w:val="00A270C7"/>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0FDC"/>
    <w:rsid w:val="00A41234"/>
    <w:rsid w:val="00A41317"/>
    <w:rsid w:val="00A42AEA"/>
    <w:rsid w:val="00A434E5"/>
    <w:rsid w:val="00A43689"/>
    <w:rsid w:val="00A43A6A"/>
    <w:rsid w:val="00A43C7C"/>
    <w:rsid w:val="00A4441F"/>
    <w:rsid w:val="00A4561A"/>
    <w:rsid w:val="00A45733"/>
    <w:rsid w:val="00A45DDA"/>
    <w:rsid w:val="00A47203"/>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5F23"/>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5FC2"/>
    <w:rsid w:val="00AB5FDE"/>
    <w:rsid w:val="00AB5FF9"/>
    <w:rsid w:val="00AB63CF"/>
    <w:rsid w:val="00AB6DAC"/>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6CB"/>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4C8A"/>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D62"/>
    <w:rsid w:val="00B113C7"/>
    <w:rsid w:val="00B11A85"/>
    <w:rsid w:val="00B11BF8"/>
    <w:rsid w:val="00B11D1B"/>
    <w:rsid w:val="00B1207D"/>
    <w:rsid w:val="00B123E9"/>
    <w:rsid w:val="00B13A72"/>
    <w:rsid w:val="00B1529E"/>
    <w:rsid w:val="00B154D3"/>
    <w:rsid w:val="00B15DBE"/>
    <w:rsid w:val="00B160F3"/>
    <w:rsid w:val="00B1637B"/>
    <w:rsid w:val="00B1675E"/>
    <w:rsid w:val="00B17499"/>
    <w:rsid w:val="00B200C4"/>
    <w:rsid w:val="00B20160"/>
    <w:rsid w:val="00B20BEA"/>
    <w:rsid w:val="00B212F0"/>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300B"/>
    <w:rsid w:val="00B34B9A"/>
    <w:rsid w:val="00B3660F"/>
    <w:rsid w:val="00B3672A"/>
    <w:rsid w:val="00B4030F"/>
    <w:rsid w:val="00B422E9"/>
    <w:rsid w:val="00B42470"/>
    <w:rsid w:val="00B4375F"/>
    <w:rsid w:val="00B43BDD"/>
    <w:rsid w:val="00B43CAD"/>
    <w:rsid w:val="00B4402E"/>
    <w:rsid w:val="00B45637"/>
    <w:rsid w:val="00B464B9"/>
    <w:rsid w:val="00B464E2"/>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5ACB"/>
    <w:rsid w:val="00B860AD"/>
    <w:rsid w:val="00B877FF"/>
    <w:rsid w:val="00B87EB4"/>
    <w:rsid w:val="00B90E96"/>
    <w:rsid w:val="00B91111"/>
    <w:rsid w:val="00B9143C"/>
    <w:rsid w:val="00B92EF0"/>
    <w:rsid w:val="00B93D8A"/>
    <w:rsid w:val="00B946A0"/>
    <w:rsid w:val="00B95B9A"/>
    <w:rsid w:val="00B9652E"/>
    <w:rsid w:val="00B96B8B"/>
    <w:rsid w:val="00B96DFC"/>
    <w:rsid w:val="00B97392"/>
    <w:rsid w:val="00B9753E"/>
    <w:rsid w:val="00B97966"/>
    <w:rsid w:val="00BA044F"/>
    <w:rsid w:val="00BA1084"/>
    <w:rsid w:val="00BA13FA"/>
    <w:rsid w:val="00BA1699"/>
    <w:rsid w:val="00BA26F3"/>
    <w:rsid w:val="00BA39B3"/>
    <w:rsid w:val="00BA3D36"/>
    <w:rsid w:val="00BA3EDE"/>
    <w:rsid w:val="00BA433F"/>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6BEE"/>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BE3"/>
    <w:rsid w:val="00BE7E9C"/>
    <w:rsid w:val="00BF114F"/>
    <w:rsid w:val="00BF16B6"/>
    <w:rsid w:val="00BF1CBF"/>
    <w:rsid w:val="00BF1D76"/>
    <w:rsid w:val="00BF2D95"/>
    <w:rsid w:val="00BF2D9C"/>
    <w:rsid w:val="00BF3360"/>
    <w:rsid w:val="00BF3681"/>
    <w:rsid w:val="00BF36C3"/>
    <w:rsid w:val="00BF50C3"/>
    <w:rsid w:val="00BF7909"/>
    <w:rsid w:val="00BF7F43"/>
    <w:rsid w:val="00C00B0F"/>
    <w:rsid w:val="00C00CCB"/>
    <w:rsid w:val="00C00F68"/>
    <w:rsid w:val="00C017F5"/>
    <w:rsid w:val="00C0281E"/>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19D"/>
    <w:rsid w:val="00C117FD"/>
    <w:rsid w:val="00C11FAC"/>
    <w:rsid w:val="00C1282D"/>
    <w:rsid w:val="00C12838"/>
    <w:rsid w:val="00C12F84"/>
    <w:rsid w:val="00C136AF"/>
    <w:rsid w:val="00C138D6"/>
    <w:rsid w:val="00C13A1E"/>
    <w:rsid w:val="00C13E37"/>
    <w:rsid w:val="00C14380"/>
    <w:rsid w:val="00C150D8"/>
    <w:rsid w:val="00C15B8B"/>
    <w:rsid w:val="00C15E88"/>
    <w:rsid w:val="00C15EA2"/>
    <w:rsid w:val="00C16214"/>
    <w:rsid w:val="00C173C3"/>
    <w:rsid w:val="00C174D8"/>
    <w:rsid w:val="00C17774"/>
    <w:rsid w:val="00C17D21"/>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368"/>
    <w:rsid w:val="00C26F71"/>
    <w:rsid w:val="00C2766C"/>
    <w:rsid w:val="00C27966"/>
    <w:rsid w:val="00C303B8"/>
    <w:rsid w:val="00C304FA"/>
    <w:rsid w:val="00C30664"/>
    <w:rsid w:val="00C30B63"/>
    <w:rsid w:val="00C32C8F"/>
    <w:rsid w:val="00C32D56"/>
    <w:rsid w:val="00C3353D"/>
    <w:rsid w:val="00C33583"/>
    <w:rsid w:val="00C33B64"/>
    <w:rsid w:val="00C3405E"/>
    <w:rsid w:val="00C34D73"/>
    <w:rsid w:val="00C35035"/>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18B0"/>
    <w:rsid w:val="00C62072"/>
    <w:rsid w:val="00C624DD"/>
    <w:rsid w:val="00C62539"/>
    <w:rsid w:val="00C6256D"/>
    <w:rsid w:val="00C62A7D"/>
    <w:rsid w:val="00C63775"/>
    <w:rsid w:val="00C63F7E"/>
    <w:rsid w:val="00C64507"/>
    <w:rsid w:val="00C64A9C"/>
    <w:rsid w:val="00C64AC6"/>
    <w:rsid w:val="00C6515B"/>
    <w:rsid w:val="00C65E91"/>
    <w:rsid w:val="00C661C6"/>
    <w:rsid w:val="00C67404"/>
    <w:rsid w:val="00C67E00"/>
    <w:rsid w:val="00C67F8E"/>
    <w:rsid w:val="00C70EA5"/>
    <w:rsid w:val="00C70F84"/>
    <w:rsid w:val="00C7182E"/>
    <w:rsid w:val="00C72260"/>
    <w:rsid w:val="00C72269"/>
    <w:rsid w:val="00C725AD"/>
    <w:rsid w:val="00C725D5"/>
    <w:rsid w:val="00C72A14"/>
    <w:rsid w:val="00C72B23"/>
    <w:rsid w:val="00C72CEF"/>
    <w:rsid w:val="00C73289"/>
    <w:rsid w:val="00C732F5"/>
    <w:rsid w:val="00C73A34"/>
    <w:rsid w:val="00C73FE2"/>
    <w:rsid w:val="00C742A0"/>
    <w:rsid w:val="00C7474B"/>
    <w:rsid w:val="00C74A7F"/>
    <w:rsid w:val="00C7520C"/>
    <w:rsid w:val="00C753C5"/>
    <w:rsid w:val="00C75623"/>
    <w:rsid w:val="00C7619B"/>
    <w:rsid w:val="00C762D9"/>
    <w:rsid w:val="00C76826"/>
    <w:rsid w:val="00C772FD"/>
    <w:rsid w:val="00C77C05"/>
    <w:rsid w:val="00C80F02"/>
    <w:rsid w:val="00C81795"/>
    <w:rsid w:val="00C823D4"/>
    <w:rsid w:val="00C83218"/>
    <w:rsid w:val="00C835C4"/>
    <w:rsid w:val="00C83667"/>
    <w:rsid w:val="00C83926"/>
    <w:rsid w:val="00C839FB"/>
    <w:rsid w:val="00C84701"/>
    <w:rsid w:val="00C84A44"/>
    <w:rsid w:val="00C84EB4"/>
    <w:rsid w:val="00C84FED"/>
    <w:rsid w:val="00C8574B"/>
    <w:rsid w:val="00C85A23"/>
    <w:rsid w:val="00C85BD6"/>
    <w:rsid w:val="00C85F0B"/>
    <w:rsid w:val="00C86B32"/>
    <w:rsid w:val="00C86E82"/>
    <w:rsid w:val="00C86FA7"/>
    <w:rsid w:val="00C87170"/>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E66"/>
    <w:rsid w:val="00CC732C"/>
    <w:rsid w:val="00CC7B13"/>
    <w:rsid w:val="00CD070D"/>
    <w:rsid w:val="00CD0A7D"/>
    <w:rsid w:val="00CD0B0B"/>
    <w:rsid w:val="00CD1162"/>
    <w:rsid w:val="00CD1260"/>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2EE"/>
    <w:rsid w:val="00CE0369"/>
    <w:rsid w:val="00CE0535"/>
    <w:rsid w:val="00CE0F2D"/>
    <w:rsid w:val="00CE224F"/>
    <w:rsid w:val="00CE253E"/>
    <w:rsid w:val="00CE2857"/>
    <w:rsid w:val="00CE3190"/>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2725"/>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57AC"/>
    <w:rsid w:val="00D37218"/>
    <w:rsid w:val="00D373D8"/>
    <w:rsid w:val="00D374FD"/>
    <w:rsid w:val="00D40516"/>
    <w:rsid w:val="00D4054E"/>
    <w:rsid w:val="00D4075E"/>
    <w:rsid w:val="00D40EB5"/>
    <w:rsid w:val="00D426D2"/>
    <w:rsid w:val="00D4298D"/>
    <w:rsid w:val="00D429A2"/>
    <w:rsid w:val="00D43229"/>
    <w:rsid w:val="00D433E8"/>
    <w:rsid w:val="00D4356C"/>
    <w:rsid w:val="00D4389A"/>
    <w:rsid w:val="00D43DE3"/>
    <w:rsid w:val="00D44226"/>
    <w:rsid w:val="00D44459"/>
    <w:rsid w:val="00D44C30"/>
    <w:rsid w:val="00D45216"/>
    <w:rsid w:val="00D45670"/>
    <w:rsid w:val="00D45D41"/>
    <w:rsid w:val="00D45E04"/>
    <w:rsid w:val="00D46190"/>
    <w:rsid w:val="00D46515"/>
    <w:rsid w:val="00D4720C"/>
    <w:rsid w:val="00D472C2"/>
    <w:rsid w:val="00D479E0"/>
    <w:rsid w:val="00D47A83"/>
    <w:rsid w:val="00D47BF8"/>
    <w:rsid w:val="00D5055F"/>
    <w:rsid w:val="00D51B5D"/>
    <w:rsid w:val="00D525CA"/>
    <w:rsid w:val="00D528F8"/>
    <w:rsid w:val="00D53020"/>
    <w:rsid w:val="00D54287"/>
    <w:rsid w:val="00D5429B"/>
    <w:rsid w:val="00D5492B"/>
    <w:rsid w:val="00D55BAC"/>
    <w:rsid w:val="00D56088"/>
    <w:rsid w:val="00D56381"/>
    <w:rsid w:val="00D56BF4"/>
    <w:rsid w:val="00D60060"/>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199"/>
    <w:rsid w:val="00DA37A4"/>
    <w:rsid w:val="00DA3B73"/>
    <w:rsid w:val="00DA4D7A"/>
    <w:rsid w:val="00DA5278"/>
    <w:rsid w:val="00DA54AB"/>
    <w:rsid w:val="00DA6195"/>
    <w:rsid w:val="00DA7007"/>
    <w:rsid w:val="00DB068B"/>
    <w:rsid w:val="00DB1A75"/>
    <w:rsid w:val="00DB205C"/>
    <w:rsid w:val="00DB25C9"/>
    <w:rsid w:val="00DB2872"/>
    <w:rsid w:val="00DB2F44"/>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E7BB5"/>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5E5"/>
    <w:rsid w:val="00E209E7"/>
    <w:rsid w:val="00E20DDA"/>
    <w:rsid w:val="00E21007"/>
    <w:rsid w:val="00E21046"/>
    <w:rsid w:val="00E21B1C"/>
    <w:rsid w:val="00E22203"/>
    <w:rsid w:val="00E2273B"/>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7CB"/>
    <w:rsid w:val="00E369DC"/>
    <w:rsid w:val="00E36FEA"/>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042E"/>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9C2"/>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3A6D"/>
    <w:rsid w:val="00EB4F6B"/>
    <w:rsid w:val="00EB5D90"/>
    <w:rsid w:val="00EB5F23"/>
    <w:rsid w:val="00EB6C1A"/>
    <w:rsid w:val="00EB70AB"/>
    <w:rsid w:val="00EB761D"/>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2D11"/>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0355"/>
    <w:rsid w:val="00F107B6"/>
    <w:rsid w:val="00F11066"/>
    <w:rsid w:val="00F12714"/>
    <w:rsid w:val="00F12AB0"/>
    <w:rsid w:val="00F14063"/>
    <w:rsid w:val="00F140C7"/>
    <w:rsid w:val="00F142C9"/>
    <w:rsid w:val="00F1545A"/>
    <w:rsid w:val="00F1573F"/>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84C"/>
    <w:rsid w:val="00F30999"/>
    <w:rsid w:val="00F30C5A"/>
    <w:rsid w:val="00F31497"/>
    <w:rsid w:val="00F315A6"/>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B3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B4"/>
    <w:rsid w:val="00F676C6"/>
    <w:rsid w:val="00F7096D"/>
    <w:rsid w:val="00F710D0"/>
    <w:rsid w:val="00F718D5"/>
    <w:rsid w:val="00F71A93"/>
    <w:rsid w:val="00F73186"/>
    <w:rsid w:val="00F73392"/>
    <w:rsid w:val="00F740A1"/>
    <w:rsid w:val="00F74669"/>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5E98"/>
    <w:rsid w:val="00FA6181"/>
    <w:rsid w:val="00FA6632"/>
    <w:rsid w:val="00FA6C55"/>
    <w:rsid w:val="00FA74E1"/>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49F"/>
    <w:rsid w:val="00FE272A"/>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E9CE-3711-406A-A901-AD11BBE8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36</Pages>
  <Words>9284</Words>
  <Characters>52920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7</cp:revision>
  <cp:lastPrinted>2013-08-22T18:05:00Z</cp:lastPrinted>
  <dcterms:created xsi:type="dcterms:W3CDTF">2013-09-03T05:43:00Z</dcterms:created>
  <dcterms:modified xsi:type="dcterms:W3CDTF">2013-09-03T17:26:00Z</dcterms:modified>
</cp:coreProperties>
</file>