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7615" w:rsidRDefault="004841F7" w:rsidP="00A36D74">
      <w:pPr>
        <w:pStyle w:val="PlainText"/>
        <w:rPr>
          <w:rFonts w:ascii="Tahoma" w:hAnsi="Tahoma" w:cs="Tahoma"/>
          <w:b/>
          <w:sz w:val="32"/>
          <w:szCs w:val="32"/>
        </w:rPr>
      </w:pPr>
      <w:r w:rsidRPr="006E7615">
        <w:rPr>
          <w:rFonts w:ascii="Tahoma" w:hAnsi="Tahoma" w:cs="Tahoma"/>
          <w:b/>
          <w:sz w:val="32"/>
          <w:szCs w:val="32"/>
        </w:rPr>
        <w:t>Sumner Park Phone Setup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2010-08-24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Michael Spence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  <w:b/>
        </w:rPr>
      </w:pPr>
      <w:r w:rsidRPr="006E7615">
        <w:rPr>
          <w:rFonts w:ascii="Tahoma" w:hAnsi="Tahoma" w:cs="Tahoma"/>
          <w:b/>
        </w:rPr>
        <w:t>Preamble: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The phone system at Sumner Park is a temporary setup using Phone numbers from the IT TIPT range.  The original numbers from the original Service centre at </w:t>
      </w:r>
      <w:proofErr w:type="spellStart"/>
      <w:r w:rsidRPr="006E7615">
        <w:rPr>
          <w:rFonts w:ascii="Tahoma" w:hAnsi="Tahoma" w:cs="Tahoma"/>
        </w:rPr>
        <w:t>Toowong</w:t>
      </w:r>
      <w:proofErr w:type="spellEnd"/>
      <w:r w:rsidRPr="006E7615">
        <w:rPr>
          <w:rFonts w:ascii="Tahoma" w:hAnsi="Tahoma" w:cs="Tahoma"/>
        </w:rPr>
        <w:t xml:space="preserve"> are forwarded to this t</w:t>
      </w:r>
      <w:r w:rsidRPr="006E7615">
        <w:rPr>
          <w:rFonts w:ascii="Tahoma" w:hAnsi="Tahoma" w:cs="Tahoma"/>
        </w:rPr>
        <w:t xml:space="preserve">emporary system.  Please do not advertise any of the temporary numbers, as these are property of the IT department.  When the service centre is moved back to </w:t>
      </w:r>
      <w:proofErr w:type="spellStart"/>
      <w:r w:rsidRPr="006E7615">
        <w:rPr>
          <w:rFonts w:ascii="Tahoma" w:hAnsi="Tahoma" w:cs="Tahoma"/>
        </w:rPr>
        <w:t>Toowong</w:t>
      </w:r>
      <w:proofErr w:type="spellEnd"/>
      <w:r w:rsidRPr="006E7615">
        <w:rPr>
          <w:rFonts w:ascii="Tahoma" w:hAnsi="Tahoma" w:cs="Tahoma"/>
        </w:rPr>
        <w:t>, your correct new numbers will be allocated to you.</w:t>
      </w:r>
    </w:p>
    <w:p w:rsidR="006E7615" w:rsidRDefault="006E7615" w:rsidP="00A36D74">
      <w:pPr>
        <w:pStyle w:val="PlainText"/>
        <w:rPr>
          <w:rFonts w:ascii="Tahoma" w:hAnsi="Tahoma" w:cs="Tahoma"/>
        </w:rPr>
      </w:pPr>
    </w:p>
    <w:p w:rsidR="00000000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6E7615" w:rsidP="00A36D74">
      <w:pPr>
        <w:pStyle w:val="PlainTex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Phone numbers involved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Origin</w:t>
      </w:r>
      <w:r w:rsidRPr="006E7615">
        <w:rPr>
          <w:rFonts w:ascii="Tahoma" w:hAnsi="Tahoma" w:cs="Tahoma"/>
        </w:rPr>
        <w:t xml:space="preserve">al numbers at </w:t>
      </w:r>
      <w:proofErr w:type="spellStart"/>
      <w:r w:rsidRPr="006E7615">
        <w:rPr>
          <w:rFonts w:ascii="Tahoma" w:hAnsi="Tahoma" w:cs="Tahoma"/>
        </w:rPr>
        <w:t>Toowong</w:t>
      </w:r>
      <w:proofErr w:type="spellEnd"/>
      <w:r>
        <w:rPr>
          <w:rFonts w:ascii="Tahoma" w:hAnsi="Tahoma" w:cs="Tahoma"/>
        </w:rPr>
        <w:t xml:space="preserve"> (Advertised)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Kellie </w:t>
      </w:r>
      <w:proofErr w:type="spellStart"/>
      <w:r w:rsidRPr="006E7615">
        <w:rPr>
          <w:rFonts w:ascii="Tahoma" w:hAnsi="Tahoma" w:cs="Tahoma"/>
        </w:rPr>
        <w:t>Latemore</w:t>
      </w:r>
      <w:proofErr w:type="spellEnd"/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ab/>
        <w:t>3871 6822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a.k.a</w:t>
      </w:r>
      <w:proofErr w:type="spellEnd"/>
      <w:r>
        <w:rPr>
          <w:rFonts w:ascii="Tahoma" w:hAnsi="Tahoma" w:cs="Tahoma"/>
        </w:rPr>
        <w:t xml:space="preserve"> Main Service Number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Matt Branch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ab/>
        <w:t>3871 6818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Rod Wylie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ab/>
        <w:t>3871 6827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Reception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ab/>
        <w:t>3871 6800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New Numbers at Sumner Park</w:t>
      </w:r>
      <w:r>
        <w:rPr>
          <w:rFonts w:ascii="Tahoma" w:hAnsi="Tahoma" w:cs="Tahoma"/>
        </w:rPr>
        <w:t xml:space="preserve"> (Temporary)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Matt Branch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ab/>
        <w:t>3828 6142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Kellie </w:t>
      </w:r>
      <w:proofErr w:type="spellStart"/>
      <w:r w:rsidRPr="006E7615">
        <w:rPr>
          <w:rFonts w:ascii="Tahoma" w:hAnsi="Tahoma" w:cs="Tahoma"/>
        </w:rPr>
        <w:t>Latemore</w:t>
      </w:r>
      <w:proofErr w:type="spellEnd"/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ab/>
        <w:t>382</w:t>
      </w:r>
      <w:r w:rsidRPr="006E7615">
        <w:rPr>
          <w:rFonts w:ascii="Tahoma" w:hAnsi="Tahoma" w:cs="Tahoma"/>
        </w:rPr>
        <w:t>8 6143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Georgia Bailey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ab/>
        <w:t>3828 6172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Rod Wylie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ab/>
        <w:t>3828 6144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Hunt Group 6818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>3828 6148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Hunt Group 6822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>3828 6149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Hunt Group 6172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>3828 6150</w:t>
      </w:r>
    </w:p>
    <w:p w:rsidR="00000000" w:rsidRPr="006E7615" w:rsidRDefault="004841F7" w:rsidP="006E7615">
      <w:pPr>
        <w:pStyle w:val="PlainText"/>
        <w:ind w:left="720"/>
        <w:rPr>
          <w:rFonts w:ascii="Tahoma" w:hAnsi="Tahoma" w:cs="Tahoma"/>
        </w:rPr>
      </w:pPr>
      <w:r w:rsidRPr="006E7615">
        <w:rPr>
          <w:rFonts w:ascii="Tahoma" w:hAnsi="Tahoma" w:cs="Tahoma"/>
        </w:rPr>
        <w:t>Hunt Group 6827</w:t>
      </w:r>
      <w:r w:rsidRPr="006E7615">
        <w:rPr>
          <w:rFonts w:ascii="Tahoma" w:hAnsi="Tahoma" w:cs="Tahoma"/>
        </w:rPr>
        <w:tab/>
      </w:r>
      <w:r w:rsidRPr="006E7615">
        <w:rPr>
          <w:rFonts w:ascii="Tahoma" w:hAnsi="Tahoma" w:cs="Tahoma"/>
        </w:rPr>
        <w:t>3828 6151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6E7615" w:rsidRDefault="006E7615" w:rsidP="00A36D74">
      <w:pPr>
        <w:pStyle w:val="PlainText"/>
        <w:rPr>
          <w:rFonts w:ascii="Tahoma" w:hAnsi="Tahoma" w:cs="Tahoma"/>
          <w:b/>
        </w:rPr>
      </w:pPr>
    </w:p>
    <w:p w:rsidR="006E7615" w:rsidRDefault="006E7615">
      <w:pPr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</w:rPr>
        <w:br w:type="page"/>
      </w:r>
    </w:p>
    <w:p w:rsidR="00000000" w:rsidRPr="006E7615" w:rsidRDefault="004841F7" w:rsidP="00A36D74">
      <w:pPr>
        <w:pStyle w:val="PlainText"/>
        <w:rPr>
          <w:rFonts w:ascii="Tahoma" w:hAnsi="Tahoma" w:cs="Tahoma"/>
          <w:b/>
        </w:rPr>
      </w:pPr>
      <w:r w:rsidRPr="006E7615">
        <w:rPr>
          <w:rFonts w:ascii="Tahoma" w:hAnsi="Tahoma" w:cs="Tahoma"/>
          <w:b/>
        </w:rPr>
        <w:lastRenderedPageBreak/>
        <w:t>How the Numbers are related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(The following informat</w:t>
      </w:r>
      <w:r w:rsidRPr="006E7615">
        <w:rPr>
          <w:rFonts w:ascii="Tahoma" w:hAnsi="Tahoma" w:cs="Tahoma"/>
        </w:rPr>
        <w:t>ion is known as we had Telstra do these manually)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Extension 6822 is forwarded to 6149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Extension 6818 is forwarded to 6148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Extension 6827 is forwarded to 6151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(The following information is taken from the setup currently in place, which IT have contr</w:t>
      </w:r>
      <w:r w:rsidRPr="006E7615">
        <w:rPr>
          <w:rFonts w:ascii="Tahoma" w:hAnsi="Tahoma" w:cs="Tahoma"/>
        </w:rPr>
        <w:t>ol over)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>Extension 6172 rings and if unanswered forwards to 6150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Extension 6148 is a hunt group and rings in order (5 rings each): 6142, 6143, 6172, </w:t>
      </w:r>
      <w:proofErr w:type="gramStart"/>
      <w:r w:rsidRPr="006E7615">
        <w:rPr>
          <w:rFonts w:ascii="Tahoma" w:hAnsi="Tahoma" w:cs="Tahoma"/>
        </w:rPr>
        <w:t>6144</w:t>
      </w:r>
      <w:proofErr w:type="gramEnd"/>
      <w:r w:rsidRPr="006E7615">
        <w:rPr>
          <w:rFonts w:ascii="Tahoma" w:hAnsi="Tahoma" w:cs="Tahoma"/>
        </w:rPr>
        <w:t xml:space="preserve"> and if unanswered forwards to 6800</w:t>
      </w: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>Extension 6149 is a hunt group and rings in order (5 rings e</w:t>
      </w:r>
      <w:r w:rsidRPr="006E7615">
        <w:rPr>
          <w:rFonts w:ascii="Tahoma" w:hAnsi="Tahoma" w:cs="Tahoma"/>
        </w:rPr>
        <w:t xml:space="preserve">ach): 6143, 6172, 6142, </w:t>
      </w:r>
      <w:proofErr w:type="gramStart"/>
      <w:r w:rsidRPr="006E7615">
        <w:rPr>
          <w:rFonts w:ascii="Tahoma" w:hAnsi="Tahoma" w:cs="Tahoma"/>
        </w:rPr>
        <w:t>6144</w:t>
      </w:r>
      <w:proofErr w:type="gramEnd"/>
      <w:r w:rsidRPr="006E7615">
        <w:rPr>
          <w:rFonts w:ascii="Tahoma" w:hAnsi="Tahoma" w:cs="Tahoma"/>
        </w:rPr>
        <w:t xml:space="preserve"> and if unanswered forwards to 6800</w:t>
      </w: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Extension 6150 is a hunt group and rings in order (5 rings each): 6143, 6142, </w:t>
      </w:r>
      <w:proofErr w:type="gramStart"/>
      <w:r w:rsidRPr="006E7615">
        <w:rPr>
          <w:rFonts w:ascii="Tahoma" w:hAnsi="Tahoma" w:cs="Tahoma"/>
        </w:rPr>
        <w:t>6144</w:t>
      </w:r>
      <w:proofErr w:type="gramEnd"/>
      <w:r w:rsidRPr="006E7615">
        <w:rPr>
          <w:rFonts w:ascii="Tahoma" w:hAnsi="Tahoma" w:cs="Tahoma"/>
        </w:rPr>
        <w:t xml:space="preserve"> and if unanswered forwards to 6800</w:t>
      </w: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Extension 6151 is a hunt group and rings in order (5 rings each): 6144, </w:t>
      </w:r>
      <w:r w:rsidRPr="006E7615">
        <w:rPr>
          <w:rFonts w:ascii="Tahoma" w:hAnsi="Tahoma" w:cs="Tahoma"/>
        </w:rPr>
        <w:t>6143 and if unanswered forwards to 6800</w:t>
      </w: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>If a number in a hunt group is busy or do-not-disturb is set, the hunt group moves automatically to the next number.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Each of the extensions 6142, 6143, 6144 </w:t>
      </w:r>
      <w:proofErr w:type="gramStart"/>
      <w:r w:rsidRPr="006E7615">
        <w:rPr>
          <w:rFonts w:ascii="Tahoma" w:hAnsi="Tahoma" w:cs="Tahoma"/>
        </w:rPr>
        <w:t>are</w:t>
      </w:r>
      <w:proofErr w:type="gramEnd"/>
      <w:r w:rsidRPr="006E7615">
        <w:rPr>
          <w:rFonts w:ascii="Tahoma" w:hAnsi="Tahoma" w:cs="Tahoma"/>
        </w:rPr>
        <w:t xml:space="preserve"> set to forward to 6800 if not answered or if busy</w:t>
      </w:r>
      <w:r w:rsidRPr="006E7615">
        <w:rPr>
          <w:rFonts w:ascii="Tahoma" w:hAnsi="Tahoma" w:cs="Tahoma"/>
        </w:rPr>
        <w:t>.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A36D74">
      <w:pPr>
        <w:pStyle w:val="PlainText"/>
        <w:rPr>
          <w:rFonts w:ascii="Tahoma" w:hAnsi="Tahoma" w:cs="Tahoma"/>
          <w:b/>
        </w:rPr>
      </w:pPr>
      <w:r w:rsidRPr="006E7615">
        <w:rPr>
          <w:rFonts w:ascii="Tahoma" w:hAnsi="Tahoma" w:cs="Tahoma"/>
          <w:b/>
        </w:rPr>
        <w:t>What it all means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>Matt's original number is forwarded to "His" hunt group, so he gets first chance to answer it.  It then calls Kellie, Georgia, Rod.</w:t>
      </w: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>Kellie's original number forwards to "Her" hunt group, so she gets first cha</w:t>
      </w:r>
      <w:r w:rsidRPr="006E7615">
        <w:rPr>
          <w:rFonts w:ascii="Tahoma" w:hAnsi="Tahoma" w:cs="Tahoma"/>
        </w:rPr>
        <w:t xml:space="preserve">nce to answer it. It then calls Georgia, Matt, </w:t>
      </w:r>
      <w:proofErr w:type="gramStart"/>
      <w:r w:rsidRPr="006E7615">
        <w:rPr>
          <w:rFonts w:ascii="Tahoma" w:hAnsi="Tahoma" w:cs="Tahoma"/>
        </w:rPr>
        <w:t>Rod</w:t>
      </w:r>
      <w:proofErr w:type="gramEnd"/>
      <w:r w:rsidRPr="006E7615">
        <w:rPr>
          <w:rFonts w:ascii="Tahoma" w:hAnsi="Tahoma" w:cs="Tahoma"/>
        </w:rPr>
        <w:t>.</w:t>
      </w: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Georgia didn't have an old number, so if her number rings and isn't answered it goes to "Her" hunt group, which doesn't have her in it.  It calls Kellie, Matt, </w:t>
      </w:r>
      <w:proofErr w:type="gramStart"/>
      <w:r w:rsidRPr="006E7615">
        <w:rPr>
          <w:rFonts w:ascii="Tahoma" w:hAnsi="Tahoma" w:cs="Tahoma"/>
        </w:rPr>
        <w:t>Rod</w:t>
      </w:r>
      <w:proofErr w:type="gramEnd"/>
      <w:r w:rsidRPr="006E7615">
        <w:rPr>
          <w:rFonts w:ascii="Tahoma" w:hAnsi="Tahoma" w:cs="Tahoma"/>
        </w:rPr>
        <w:t>.</w:t>
      </w: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>Rod's original number is forwarded to</w:t>
      </w:r>
      <w:r w:rsidRPr="006E7615">
        <w:rPr>
          <w:rFonts w:ascii="Tahoma" w:hAnsi="Tahoma" w:cs="Tahoma"/>
        </w:rPr>
        <w:t xml:space="preserve"> "His" hunt group, so he gets first chance to answer it.  It then calls Kellie.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If for some reason, a person calls one of the person's temporary numbers (which shouldn't happen, because no-one should know your real numbers) (and this excludes Georgia's </w:t>
      </w:r>
      <w:r w:rsidRPr="006E7615">
        <w:rPr>
          <w:rFonts w:ascii="Tahoma" w:hAnsi="Tahoma" w:cs="Tahoma"/>
        </w:rPr>
        <w:t>number) the phone will ring as normal.</w:t>
      </w:r>
    </w:p>
    <w:p w:rsidR="00000000" w:rsidRPr="006E7615" w:rsidRDefault="004841F7" w:rsidP="00A36D74">
      <w:pPr>
        <w:pStyle w:val="PlainText"/>
        <w:rPr>
          <w:rFonts w:ascii="Tahoma" w:hAnsi="Tahoma" w:cs="Tahoma"/>
        </w:rPr>
      </w:pPr>
    </w:p>
    <w:p w:rsidR="00000000" w:rsidRPr="006E7615" w:rsidRDefault="004841F7" w:rsidP="006E7615">
      <w:pPr>
        <w:pStyle w:val="PlainText"/>
        <w:ind w:left="720" w:hanging="720"/>
        <w:rPr>
          <w:rFonts w:ascii="Tahoma" w:hAnsi="Tahoma" w:cs="Tahoma"/>
        </w:rPr>
      </w:pPr>
      <w:r w:rsidRPr="006E7615">
        <w:rPr>
          <w:rFonts w:ascii="Tahoma" w:hAnsi="Tahoma" w:cs="Tahoma"/>
        </w:rPr>
        <w:t xml:space="preserve">In ALL cases if the phone is unanswered, the phone call will be forwarded to Reception at </w:t>
      </w:r>
      <w:proofErr w:type="spellStart"/>
      <w:r w:rsidRPr="006E7615">
        <w:rPr>
          <w:rFonts w:ascii="Tahoma" w:hAnsi="Tahoma" w:cs="Tahoma"/>
        </w:rPr>
        <w:t>Toowong</w:t>
      </w:r>
      <w:proofErr w:type="spellEnd"/>
      <w:r w:rsidRPr="006E7615">
        <w:rPr>
          <w:rFonts w:ascii="Tahoma" w:hAnsi="Tahoma" w:cs="Tahoma"/>
        </w:rPr>
        <w:t xml:space="preserve"> Subaru.</w:t>
      </w:r>
    </w:p>
    <w:p w:rsidR="00A36D74" w:rsidRPr="006E7615" w:rsidRDefault="00A36D74" w:rsidP="00A36D74">
      <w:pPr>
        <w:pStyle w:val="PlainText"/>
        <w:rPr>
          <w:rFonts w:ascii="Tahoma" w:hAnsi="Tahoma" w:cs="Tahoma"/>
        </w:rPr>
      </w:pPr>
    </w:p>
    <w:sectPr w:rsidR="00A36D74" w:rsidRPr="006E7615" w:rsidSect="00A36D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7BB"/>
    <w:rsid w:val="002C53FC"/>
    <w:rsid w:val="004841F7"/>
    <w:rsid w:val="006E7615"/>
    <w:rsid w:val="007267BB"/>
    <w:rsid w:val="00A36D74"/>
    <w:rsid w:val="00CC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6D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6D7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2010-08-24T06:20:00Z</dcterms:created>
  <dcterms:modified xsi:type="dcterms:W3CDTF">2010-08-24T06:22:00Z</dcterms:modified>
</cp:coreProperties>
</file>