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2.3: Cryptographic Analysis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following part of work we approach the n-gram distributions of English and German to crack the substitution cipher. The algorithm provides deciphering based on bigrams and trigrams distributions that were produced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frequency_analysis.py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substitution key: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nqjcgxyszuhvkboamitpefwlrd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Explanation of the algorithm: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algorithm starts with generating a random key, and incrementally improve it changing two chars in the step. Then the algorithm restarts. The number of restarts and steps in each restart is preliminarily defined.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Improving the key.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keys is judged based on the decryption.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new key is chosen closely to the previous key based on bigrams distribution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neighboring_keys()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Decrypted text is converted to 2-grams and yields keys by the following: one letter in each 2-gram is swapped to random letter so that a new bigram had higher probability.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Optimization.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local maximum of the fitness function refers to the most appropriate key among those produced in each restart. Local maximums in each restart are searching in the following way: if the value of the fitness function is better than in the previous step, the previous memorizes key is changed to the current one.  This optimization is provided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steepest_ascent()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Decryption evaluation.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decryption is evaluated based on trigrams distribution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trigram_string_prob()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decryption is converted to 3-grams and the method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calculates a value - sum of 3-grams’ probabilities (more precisely, logarithms’ of the probabilities). The larger the value, the better decryption. These values are the fitness values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steepest_ascent()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evaluation.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crack_ciphertext()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local maximums are compared to each other, and the global maximum refers to the key which is returned by the method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used to decipher text.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Finally, decryptions for both languages are compared and the best one is chosen according to larger value of the fitness function.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