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ejecución</w:t>
      </w:r>
      <w:r>
        <w:t xml:space="preserve"> </w:t>
      </w:r>
      <w:r>
        <w:t xml:space="preserve">SEO</w:t>
      </w:r>
    </w:p>
    <w:p>
      <w:pPr>
        <w:pStyle w:val="Subtitle"/>
      </w:pPr>
      <w:r>
        <w:t xml:space="preserve">Mercan</w:t>
      </w:r>
      <w:r>
        <w:t xml:space="preserve"> </w:t>
      </w:r>
      <w:r>
        <w:t xml:space="preserve">Group</w:t>
      </w:r>
      <w:r>
        <w:t xml:space="preserve"> </w:t>
      </w:r>
      <w:r>
        <w:t xml:space="preserve">Panama</w:t>
      </w:r>
      <w:r>
        <w:t xml:space="preserve"> </w:t>
      </w:r>
      <w:r>
        <w:t xml:space="preserve">·</w:t>
      </w:r>
      <w:r>
        <w:t xml:space="preserve"> </w:t>
      </w:r>
      <w:r>
        <w:t xml:space="preserve">mercan.pa</w:t>
      </w:r>
    </w:p>
    <w:p>
      <w:pPr>
        <w:pStyle w:val="Author"/>
      </w:pPr>
      <w:r>
        <w:t xml:space="preserve">[AGENCIA</w:t>
      </w:r>
      <w:r>
        <w:t xml:space="preserve"> </w:t>
      </w:r>
      <w:r>
        <w:t xml:space="preserve">/</w:t>
      </w:r>
      <w:r>
        <w:t xml:space="preserve"> </w:t>
      </w:r>
      <w:r>
        <w:t xml:space="preserve">CONSULTOR]</w:t>
      </w:r>
    </w:p>
    <w:p>
      <w:pPr>
        <w:pStyle w:val="Date"/>
      </w:pPr>
      <w:r>
        <w:t xml:space="preserve">Octubre</w:t>
      </w:r>
      <w:r>
        <w:t xml:space="preserve"> </w:t>
      </w:r>
      <w:r>
        <w:t xml:space="preserve">2026</w:t>
      </w:r>
    </w:p>
    <w:bookmarkStart w:id="20" w:name="resumen-ejecutivo"/>
    <w:p>
      <w:pPr>
        <w:pStyle w:val="Heading1"/>
      </w:pPr>
      <w:r>
        <w:t xml:space="preserve">1. Resumen ejecutivo</w:t>
      </w:r>
    </w:p>
    <w:p>
      <w:pPr>
        <w:pStyle w:val="FirstParagraph"/>
      </w:pPr>
      <w:r>
        <w:t xml:space="preserve">Mercan Group Panama (mercan.pa) ya tiene una base sólida en el mercado internacional: es el</w:t>
      </w:r>
      <w:r>
        <w:t xml:space="preserve"> </w:t>
      </w:r>
      <w:r>
        <w:rPr>
          <w:bCs/>
          <w:b/>
        </w:rPr>
        <w:t xml:space="preserve">primer resultado</w:t>
      </w:r>
      <w:r>
        <w:t xml:space="preserve"> </w:t>
      </w:r>
      <w:r>
        <w:t xml:space="preserve">en Google para «mercan panama» desde EE. UU. y Canadá, y su marca se busca más de 2.000 veces al mes entre ambos países. Sin embargo, hoy su sitio presenta tres brechas que limitan el flujo de clientes calificados: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Compite con su propio dominio matriz.</w:t>
      </w:r>
      <w:r>
        <w:t xml:space="preserve"> </w:t>
      </w:r>
      <w:r>
        <w:t xml:space="preserve">mercan.com ocupa de 4 a 5 de los 10 primeros resultados en las búsquedas de marca y es la página que aparece, en lugar de mercan.pa, para «panama qualified investor visa».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 Panamá, Google lo confunde con otras marcas.</w:t>
      </w:r>
      <w:r>
        <w:t xml:space="preserve"> </w:t>
      </w:r>
      <w:r>
        <w:t xml:space="preserve">Al escribir «mercan», el buscador sugiere «Mercantil» (Mercantil Banco Panamá, 4.400 búsquedas/mes) y Merca Panamá (5.400 búsquedas/mes). mercan.pa no aparece en esas búsquedas.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sitio solo existe en inglés y tiene poco contenido.</w:t>
      </w:r>
      <w:r>
        <w:t xml:space="preserve"> </w:t>
      </w:r>
      <w:r>
        <w:t xml:space="preserve">La página de inicio tiene unas 430 palabras, y mercan.pa posiciona solo 5 palabras clave en inglés y 3 irrelevantes en español.</w:t>
      </w:r>
    </w:p>
    <w:p>
      <w:pPr>
        <w:pStyle w:val="FirstParagraph"/>
      </w:pPr>
      <w:r>
        <w:t xml:space="preserve">Esta propuesta presenta un plan de</w:t>
      </w:r>
      <w:r>
        <w:t xml:space="preserve"> </w:t>
      </w:r>
      <w:r>
        <w:rPr>
          <w:bCs/>
          <w:b/>
        </w:rPr>
        <w:t xml:space="preserve">9 meses</w:t>
      </w:r>
      <w:r>
        <w:t xml:space="preserve"> </w:t>
      </w:r>
      <w:r>
        <w:t xml:space="preserve">para ordenar la presencia de la marca, posicionarla en Panamá y capturar demanda del programa de Inversionista Calificado.</w:t>
      </w:r>
    </w:p>
    <w:bookmarkEnd w:id="20"/>
    <w:bookmarkStart w:id="21" w:name="Xfb656d140134175af31dba9546a052280d95b0b"/>
    <w:p>
      <w:pPr>
        <w:pStyle w:val="Heading1"/>
      </w:pPr>
      <w:r>
        <w:t xml:space="preserve">2. Situación actual (datos medidos en octubre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Panamá / español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EE. UU.–Canadá / inglés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Posición de mercan.pa en «mercan panama»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aparece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Posición en «mercan»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aparece (Google sugiere «Mercantil»)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Búsquedas mensuales de marca («mercan»)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1.600 (EE. UU.) · 390 (Canadá)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Palabras clave orgánicas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todas irrelevantes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Tráfico orgánico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visitas/mes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 visitas/mes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mercan.pa en «panama qualified investor visa»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aparece (aparece mercan.com, pos. 8)</w:t>
            </w:r>
          </w:p>
        </w:tc>
      </w:tr>
    </w:tbl>
    <w:p>
      <w:pPr>
        <w:pStyle w:val="BodyText"/>
      </w:pPr>
      <w:r>
        <w:rPr>
          <w:iCs/>
          <w:i/>
        </w:rPr>
        <w:t xml:space="preserve">Fuente: DataForSEO (volúmenes de Google Ads, SERP en vivo, Labs). Los volúmenes son aproximados.</w:t>
      </w:r>
    </w:p>
    <w:p>
      <w:pPr>
        <w:pStyle w:val="BodyText"/>
      </w:pPr>
      <w:r>
        <w:rPr>
          <w:bCs/>
          <w:b/>
        </w:rPr>
        <w:t xml:space="preserve">Oportunidades identificadas</w:t>
      </w:r>
    </w:p>
    <w:p>
      <w:pPr>
        <w:numPr>
          <w:ilvl w:val="0"/>
          <w:numId w:val="1002"/>
        </w:numPr>
        <w:pStyle w:val="Compact"/>
      </w:pPr>
      <w:r>
        <w:t xml:space="preserve">Cobertura de prensa relevante (Prensa.com, Hub.com.pa, Notimérica, Yahoo Finance, Hotel Management, IMI Daily) que ya asocia a Mercan con el Gobierno de Panamá.</w:t>
      </w:r>
    </w:p>
    <w:p>
      <w:pPr>
        <w:numPr>
          <w:ilvl w:val="0"/>
          <w:numId w:val="1002"/>
        </w:numPr>
        <w:pStyle w:val="Compact"/>
      </w:pPr>
      <w:r>
        <w:t xml:space="preserve">Proyectos con interés informativo: Pullman Panama City y Albor at Santa María.</w:t>
      </w:r>
    </w:p>
    <w:p>
      <w:pPr>
        <w:numPr>
          <w:ilvl w:val="0"/>
          <w:numId w:val="1002"/>
        </w:numPr>
        <w:pStyle w:val="Compact"/>
      </w:pPr>
      <w:r>
        <w:t xml:space="preserve">Temas de alto interés con competencia accesible en cola larga: «panama friendly nations visa» (720 búsquedas/mes en EE. UU.), «move to Panama» (590) y «retire in Panama» (480).</w:t>
      </w:r>
    </w:p>
    <w:bookmarkEnd w:id="21"/>
    <w:bookmarkStart w:id="22" w:name="objetivos"/>
    <w:p>
      <w:pPr>
        <w:pStyle w:val="Heading1"/>
      </w:pPr>
      <w:r>
        <w:t xml:space="preserve">3. Objetivos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a 6–9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Controlar el resultado de marca en inglés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mercan.pa #1 y mercan.com #2–3 en «mercan panama» y «mercan group panama»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Visibilidad de marca en Panamá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3 en «mercan group panama» y búsquedas de marca en español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Captar demanda del 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20 en 5–8 consultas de la Visa de Inversionista Calificado (EN y 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Desambiguar la 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Autocompletado y sugerencias que dejen de reemplazar «mercan» por «mercantil»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 orgánico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5 a 40+ palabras clave en inglés; de ~45 a 300+ visitas orgánicas/mes</w:t>
            </w:r>
          </w:p>
        </w:tc>
      </w:tr>
    </w:tbl>
    <w:p>
      <w:pPr>
        <w:pStyle w:val="BodyText"/>
      </w:pPr>
      <w:r>
        <w:rPr>
          <w:iCs/>
          <w:i/>
        </w:rPr>
        <w:t xml:space="preserve">Las metas son orientativas: dependen de la arquitectura acordada con Mercan Group, de la velocidad de aprobación de contenido y de la competencia.</w:t>
      </w:r>
    </w:p>
    <w:bookmarkEnd w:id="22"/>
    <w:bookmarkStart w:id="29" w:name="alcance-de-ejecución"/>
    <w:p>
      <w:pPr>
        <w:pStyle w:val="Heading1"/>
      </w:pPr>
      <w:r>
        <w:t xml:space="preserve">4. Alcance de ejecución</w:t>
      </w:r>
    </w:p>
    <w:bookmarkStart w:id="23" w:name="fase-0-alineación-y-auditoría-semanas-12"/>
    <w:p>
      <w:pPr>
        <w:pStyle w:val="Heading2"/>
      </w:pPr>
      <w:r>
        <w:t xml:space="preserve">Fase 0 · Alineación y auditoría (semanas 1–2)</w:t>
      </w:r>
    </w:p>
    <w:p>
      <w:pPr>
        <w:numPr>
          <w:ilvl w:val="0"/>
          <w:numId w:val="1003"/>
        </w:numPr>
        <w:pStyle w:val="Compact"/>
      </w:pPr>
      <w:r>
        <w:t xml:space="preserve">Taller con el cliente para</w:t>
      </w:r>
      <w:r>
        <w:t xml:space="preserve"> </w:t>
      </w:r>
      <w:r>
        <w:rPr>
          <w:bCs/>
          <w:b/>
        </w:rPr>
        <w:t xml:space="preserve">definir el rol de mercan.pa frente a mercan.com</w:t>
      </w:r>
      <w:r>
        <w:t xml:space="preserve"> </w:t>
      </w:r>
      <w:r>
        <w:t xml:space="preserve">(autoridad local de Panamá vs. marca global) y evitar páginas duplicadas.</w:t>
      </w:r>
    </w:p>
    <w:p>
      <w:pPr>
        <w:numPr>
          <w:ilvl w:val="0"/>
          <w:numId w:val="1003"/>
        </w:numPr>
        <w:pStyle w:val="Compact"/>
      </w:pPr>
      <w:r>
        <w:t xml:space="preserve">Auditoría técnica y de contenido completa (rastreo, indexación, canónicas, Core Web Vitals, renderizado con JavaScript).</w:t>
      </w:r>
    </w:p>
    <w:p>
      <w:pPr>
        <w:numPr>
          <w:ilvl w:val="0"/>
          <w:numId w:val="1003"/>
        </w:numPr>
        <w:pStyle w:val="Compact"/>
      </w:pPr>
      <w:r>
        <w:t xml:space="preserve">Conexión de Google Search Console y analítica; línea base de posiciones.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informe de auditoría, decisión documentada de arquitectura, panel de seguimiento.</w:t>
      </w:r>
    </w:p>
    <w:bookmarkEnd w:id="23"/>
    <w:bookmarkStart w:id="24" w:name="fase-1-entidad-y-fundamentos-semanas-26"/>
    <w:p>
      <w:pPr>
        <w:pStyle w:val="Heading2"/>
      </w:pPr>
      <w:r>
        <w:t xml:space="preserve">Fase 1 · Entidad y fundamentos (semanas 2–6)</w:t>
      </w:r>
    </w:p>
    <w:p>
      <w:pPr>
        <w:numPr>
          <w:ilvl w:val="0"/>
          <w:numId w:val="1004"/>
        </w:numPr>
        <w:pStyle w:val="Compact"/>
      </w:pPr>
      <w:r>
        <w:t xml:space="preserve">Nombre de marca unificado:</w:t>
      </w:r>
      <w:r>
        <w:t xml:space="preserve"> </w:t>
      </w:r>
      <w:r>
        <w:rPr>
          <w:bCs/>
          <w:b/>
        </w:rPr>
        <w:t xml:space="preserve">«Mercan Group Panama»</w:t>
      </w:r>
      <w:r>
        <w:t xml:space="preserve"> </w:t>
      </w:r>
      <w:r>
        <w:t xml:space="preserve">en títulos, encabezados, schema y perfiles.</w:t>
      </w:r>
    </w:p>
    <w:p>
      <w:pPr>
        <w:numPr>
          <w:ilvl w:val="0"/>
          <w:numId w:val="1004"/>
        </w:numPr>
        <w:pStyle w:val="Compact"/>
      </w:pPr>
      <w:r>
        <w:t xml:space="preserve">Datos estructurados: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alternateName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parentOrganization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) y</w:t>
      </w:r>
      <w:r>
        <w:t xml:space="preserve"> </w:t>
      </w:r>
      <w:r>
        <w:rPr>
          <w:rStyle w:val="VerbatimChar"/>
        </w:rPr>
        <w:t xml:space="preserve">LocalBusiness</w:t>
      </w:r>
      <w:r>
        <w:t xml:space="preserve"> </w:t>
      </w:r>
      <w:r>
        <w:t xml:space="preserve">si aplica.</w:t>
      </w:r>
    </w:p>
    <w:p>
      <w:pPr>
        <w:numPr>
          <w:ilvl w:val="0"/>
          <w:numId w:val="1004"/>
        </w:numPr>
        <w:pStyle w:val="Compact"/>
      </w:pPr>
      <w:r>
        <w:t xml:space="preserve">Texto de desambiguación visible (inicio y «Nosotros») que aclare que no tiene relación con Mercantil Banco ni con Merca Panamá.</w:t>
      </w:r>
    </w:p>
    <w:p>
      <w:pPr>
        <w:numPr>
          <w:ilvl w:val="0"/>
          <w:numId w:val="1004"/>
        </w:numPr>
        <w:pStyle w:val="Compact"/>
      </w:pPr>
      <w:r>
        <w:t xml:space="preserve">Ficha de Google Business Profile para la oficina en Panamá y perfiles sociales coherentes (nombre, dirección, teléfono).</w:t>
      </w:r>
    </w:p>
    <w:p>
      <w:pPr>
        <w:numPr>
          <w:ilvl w:val="0"/>
          <w:numId w:val="1004"/>
        </w:numPr>
        <w:pStyle w:val="Compact"/>
      </w:pPr>
      <w:r>
        <w:t xml:space="preserve">Optimización de la página de inicio: título más corto, ampliación a 800–1.000 palabras útiles, mejora de legibilidad.</w:t>
      </w:r>
    </w:p>
    <w:p>
      <w:pPr>
        <w:numPr>
          <w:ilvl w:val="0"/>
          <w:numId w:val="1004"/>
        </w:numPr>
        <w:pStyle w:val="Compact"/>
      </w:pPr>
      <w:r>
        <w:t xml:space="preserve">Correcciones técnicas: recursos que bloquean el renderizado, atributos de imágenes, sitemap y robots.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sitio ajustado, schema validado, ficha de Google verificada.</w:t>
      </w:r>
    </w:p>
    <w:bookmarkEnd w:id="24"/>
    <w:bookmarkStart w:id="25" w:name="fase-2-versión-en-español-semanas-410"/>
    <w:p>
      <w:pPr>
        <w:pStyle w:val="Heading2"/>
      </w:pPr>
      <w:r>
        <w:t xml:space="preserve">Fase 2 · Versión en español (semanas 4–10)</w:t>
      </w:r>
    </w:p>
    <w:p>
      <w:pPr>
        <w:numPr>
          <w:ilvl w:val="0"/>
          <w:numId w:val="1005"/>
        </w:numPr>
        <w:pStyle w:val="Compact"/>
      </w:pPr>
      <w:r>
        <w:t xml:space="preserve">Subdirectorio</w:t>
      </w:r>
      <w:r>
        <w:t xml:space="preserve"> </w:t>
      </w:r>
      <w:r>
        <w:rPr>
          <w:rStyle w:val="VerbatimChar"/>
        </w:rPr>
        <w:t xml:space="preserve">/es/</w:t>
      </w:r>
      <w:r>
        <w:t xml:space="preserve"> </w:t>
      </w:r>
      <w:r>
        <w:t xml:space="preserve">con hreflang (</w:t>
      </w:r>
      <w:r>
        <w:rPr>
          <w:rStyle w:val="VerbatimChar"/>
        </w:rPr>
        <w:t xml:space="preserve">es-PA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Traducción editorial de: inicio, nosotros, programa de Inversionista Calificado, proyectos, contacto y noticias principales.</w:t>
      </w:r>
    </w:p>
    <w:p>
      <w:pPr>
        <w:numPr>
          <w:ilvl w:val="0"/>
          <w:numId w:val="1005"/>
        </w:numPr>
        <w:pStyle w:val="Compact"/>
      </w:pPr>
      <w:r>
        <w:t xml:space="preserve">Landing en español sobre la visa de inversionista y la residencia por inversión inmobiliaria.</w:t>
      </w:r>
    </w:p>
    <w:p>
      <w:pPr>
        <w:numPr>
          <w:ilvl w:val="0"/>
          <w:numId w:val="1005"/>
        </w:numPr>
        <w:pStyle w:val="Compact"/>
      </w:pPr>
      <w:r>
        <w:t xml:space="preserve">Estructura de títulos y descripciones optimizada para búsquedas locales.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8–10 páginas en español publicadas y validadas.</w:t>
      </w:r>
    </w:p>
    <w:bookmarkEnd w:id="25"/>
    <w:bookmarkStart w:id="26" w:name="fase-3-contenido-de-autoridad-meses-29"/>
    <w:p>
      <w:pPr>
        <w:pStyle w:val="Heading2"/>
      </w:pPr>
      <w:r>
        <w:t xml:space="preserve">Fase 3 · Contenido de autoridad (meses 2–9)</w:t>
      </w:r>
    </w:p>
    <w:p>
      <w:pPr>
        <w:pStyle w:val="FirstParagraph"/>
      </w:pPr>
      <w:r>
        <w:t xml:space="preserve">Plan editorial de</w:t>
      </w:r>
      <w:r>
        <w:t xml:space="preserve"> </w:t>
      </w:r>
      <w:r>
        <w:rPr>
          <w:bCs/>
          <w:b/>
        </w:rPr>
        <w:t xml:space="preserve">2–3 piezas al mes</w:t>
      </w:r>
      <w:r>
        <w:t xml:space="preserve"> </w:t>
      </w:r>
      <w:r>
        <w:t xml:space="preserve">(aprox. 20 en total), con autor y revisor identificables, fuentes oficiales, fecha de actualización y preguntas frecuentes:</w:t>
      </w:r>
    </w:p>
    <w:p>
      <w:pPr>
        <w:numPr>
          <w:ilvl w:val="0"/>
          <w:numId w:val="1006"/>
        </w:numPr>
        <w:pStyle w:val="Compact"/>
      </w:pPr>
      <w:r>
        <w:t xml:space="preserve">Guías del programa: requisitos, costos, plazos, documentos.</w:t>
      </w:r>
    </w:p>
    <w:p>
      <w:pPr>
        <w:numPr>
          <w:ilvl w:val="0"/>
          <w:numId w:val="1006"/>
        </w:numPr>
        <w:pStyle w:val="Compact"/>
      </w:pPr>
      <w:r>
        <w:t xml:space="preserve">Comparativas: Visa de Inversionista Calificado vs. Friendly Nations Visa y otros programas.</w:t>
      </w:r>
    </w:p>
    <w:p>
      <w:pPr>
        <w:numPr>
          <w:ilvl w:val="0"/>
          <w:numId w:val="1006"/>
        </w:numPr>
        <w:pStyle w:val="Compact"/>
      </w:pPr>
      <w:r>
        <w:t xml:space="preserve">Guías de inversión inmobiliaria y de los proyectos (Albor, Pullman).</w:t>
      </w:r>
    </w:p>
    <w:p>
      <w:pPr>
        <w:numPr>
          <w:ilvl w:val="0"/>
          <w:numId w:val="1006"/>
        </w:numPr>
        <w:pStyle w:val="Compact"/>
      </w:pPr>
      <w:r>
        <w:t xml:space="preserve">Contenido de entrada: mudarse y vivir en Panamá, jubilarse en Panamá.</w:t>
      </w:r>
    </w:p>
    <w:p>
      <w:pPr>
        <w:numPr>
          <w:ilvl w:val="0"/>
          <w:numId w:val="1006"/>
        </w:numPr>
        <w:pStyle w:val="Compact"/>
      </w:pPr>
      <w:r>
        <w:t xml:space="preserve">Actualización trimestral de las piezas existentes.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calendario editorial aprobado, piezas publicadas, informe de rendimiento.</w:t>
      </w:r>
    </w:p>
    <w:bookmarkEnd w:id="26"/>
    <w:bookmarkStart w:id="27" w:name="fase-4-autoridad-y-menciones-meses-39"/>
    <w:p>
      <w:pPr>
        <w:pStyle w:val="Heading2"/>
      </w:pPr>
      <w:r>
        <w:t xml:space="preserve">Fase 4 · Autoridad y menciones (meses 3–9)</w:t>
      </w:r>
    </w:p>
    <w:p>
      <w:pPr>
        <w:numPr>
          <w:ilvl w:val="0"/>
          <w:numId w:val="1007"/>
        </w:numPr>
        <w:pStyle w:val="Compact"/>
      </w:pPr>
      <w:r>
        <w:t xml:space="preserve">Notas de prensa en medios panameños e internacionales, con enlace a mercan.pa y nombre completo.</w:t>
      </w:r>
    </w:p>
    <w:p>
      <w:pPr>
        <w:numPr>
          <w:ilvl w:val="0"/>
          <w:numId w:val="1007"/>
        </w:numPr>
        <w:pStyle w:val="Compact"/>
      </w:pPr>
      <w:r>
        <w:t xml:space="preserve">Alianzas de contenido y menciones con desarrolladores, cámaras de comercio y organismos de inversión,</w:t>
      </w:r>
      <w:r>
        <w:t xml:space="preserve"> </w:t>
      </w:r>
      <w:r>
        <w:rPr>
          <w:bCs/>
          <w:b/>
        </w:rPr>
        <w:t xml:space="preserve">solo con respaldo documental</w:t>
      </w:r>
      <w:r>
        <w:t xml:space="preserve"> </w:t>
      </w:r>
      <w:r>
        <w:t xml:space="preserve">de la relación.</w:t>
      </w:r>
    </w:p>
    <w:p>
      <w:pPr>
        <w:numPr>
          <w:ilvl w:val="0"/>
          <w:numId w:val="1007"/>
        </w:numPr>
        <w:pStyle w:val="Compact"/>
      </w:pPr>
      <w:r>
        <w:t xml:space="preserve">Revisión de la presencia en fuentes de referencia (por ejemplo Wikipedia/Wikidata), siguiendo sus políticas de conflicto de interés.</w:t>
      </w:r>
    </w:p>
    <w:p>
      <w:pPr>
        <w:pStyle w:val="FirstParagraph"/>
      </w:pPr>
      <w:r>
        <w:rPr>
          <w:bCs/>
          <w:b/>
        </w:rPr>
        <w:t xml:space="preserve">Entregables:</w:t>
      </w:r>
      <w:r>
        <w:t xml:space="preserve"> </w:t>
      </w:r>
      <w:r>
        <w:t xml:space="preserve">mínimo 10–15 menciones o enlaces de calidad, informe de perfil de enlaces.</w:t>
      </w:r>
    </w:p>
    <w:bookmarkEnd w:id="27"/>
    <w:bookmarkStart w:id="28" w:name="fase-5-medición-y-optimización-continuo"/>
    <w:p>
      <w:pPr>
        <w:pStyle w:val="Heading2"/>
      </w:pPr>
      <w:r>
        <w:t xml:space="preserve">Fase 5 · Medición y optimización (continuo)</w:t>
      </w:r>
    </w:p>
    <w:p>
      <w:pPr>
        <w:numPr>
          <w:ilvl w:val="0"/>
          <w:numId w:val="1008"/>
        </w:numPr>
        <w:pStyle w:val="Compact"/>
      </w:pPr>
      <w:r>
        <w:t xml:space="preserve">Seguimiento semanal de marca y quincenal del resto de palabras clave.</w:t>
      </w:r>
    </w:p>
    <w:p>
      <w:pPr>
        <w:numPr>
          <w:ilvl w:val="0"/>
          <w:numId w:val="1008"/>
        </w:numPr>
        <w:pStyle w:val="Compact"/>
      </w:pPr>
      <w:r>
        <w:t xml:space="preserve">Informe mensual y reunión de revisión; ajuste del plan según resultados.</w:t>
      </w:r>
    </w:p>
    <w:bookmarkEnd w:id="28"/>
    <w:bookmarkEnd w:id="29"/>
    <w:bookmarkStart w:id="30" w:name="cronograma"/>
    <w:p>
      <w:pPr>
        <w:pStyle w:val="Heading1"/>
      </w:pPr>
      <w:r>
        <w:t xml:space="preserve">5. Cronograma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0 · Alineación y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1 · Entidad y fundamentos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2 · Versión en español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3 · Contenido de autoridad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4 · Autoridad y menciones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5 · Medición y optimización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</w:tr>
    </w:tbl>
    <w:bookmarkEnd w:id="30"/>
    <w:bookmarkStart w:id="31" w:name="indicadores-de-éxito-kpis"/>
    <w:p>
      <w:pPr>
        <w:pStyle w:val="Heading1"/>
      </w:pPr>
      <w:r>
        <w:t xml:space="preserve">6. Indicadores de éxito (KPIs)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6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mercan.pa en «mercan panama» (EE. UU.)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(mantener)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mercan.pa en «mercan group panama» (Panamá)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Palabras clave orgánicas (inglés)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Palabras clave relevantes (español)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Visitas orgánicas mensuales (estimado)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Páginas del programa en top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</w:t>
            </w:r>
          </w:p>
        </w:tc>
      </w:tr>
    </w:tbl>
    <w:bookmarkEnd w:id="31"/>
    <w:bookmarkStart w:id="32" w:name="inversión"/>
    <w:p>
      <w:pPr>
        <w:pStyle w:val="Heading1"/>
      </w:pPr>
      <w:r>
        <w:t xml:space="preserve">7. Inversión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0 · Auditoría y alineación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[PRECIO]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1 · Entidad y fundamentos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[PRECIO]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2 · Versión en español (traducción editorial incluida)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[PRECIO]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Fases 3–5 · Contenido, autoridad y medición (2–3 piezas/mes)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[PRECIO]/mes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Herramientas de medición (rank tracking, datos SEO)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 / [PRECIO]</w:t>
            </w:r>
          </w:p>
        </w:tc>
      </w:tr>
    </w:tbl>
    <w:p>
      <w:pPr>
        <w:pStyle w:val="BodyText"/>
      </w:pPr>
      <w:r>
        <w:rPr>
          <w:iCs/>
          <w:i/>
        </w:rPr>
        <w:t xml:space="preserve">Vigencia de la propuesta: 30 días. No incluye pauta publicitaria, desarrollo web mayor ni traducción de contenidos fuera del alcance.</w:t>
      </w:r>
    </w:p>
    <w:bookmarkEnd w:id="32"/>
    <w:bookmarkStart w:id="33" w:name="qué-necesitamos-del-cliente"/>
    <w:p>
      <w:pPr>
        <w:pStyle w:val="Heading1"/>
      </w:pPr>
      <w:r>
        <w:t xml:space="preserve">8. Qué necesitamos del cliente</w:t>
      </w:r>
    </w:p>
    <w:p>
      <w:pPr>
        <w:numPr>
          <w:ilvl w:val="0"/>
          <w:numId w:val="1009"/>
        </w:numPr>
        <w:pStyle w:val="Compact"/>
      </w:pPr>
      <w:r>
        <w:t xml:space="preserve">Acceso a Google Search Console, analítica y al CMS (o contacto técnico para implementar cambios).</w:t>
      </w:r>
    </w:p>
    <w:p>
      <w:pPr>
        <w:numPr>
          <w:ilvl w:val="0"/>
          <w:numId w:val="1009"/>
        </w:numPr>
        <w:pStyle w:val="Compact"/>
      </w:pPr>
      <w:r>
        <w:t xml:space="preserve">Decisión sobre la arquitectura entre mercan.pa y mercan.com, con el equipo de Mercan Group.</w:t>
      </w:r>
    </w:p>
    <w:p>
      <w:pPr>
        <w:numPr>
          <w:ilvl w:val="0"/>
          <w:numId w:val="1009"/>
        </w:numPr>
        <w:pStyle w:val="Compact"/>
      </w:pPr>
      <w:r>
        <w:t xml:space="preserve">Datos verificables para el contenido: dirección, teléfono, razón social, datos del programa y de los proyectos.</w:t>
      </w:r>
    </w:p>
    <w:p>
      <w:pPr>
        <w:numPr>
          <w:ilvl w:val="0"/>
          <w:numId w:val="1009"/>
        </w:numPr>
        <w:pStyle w:val="Compact"/>
      </w:pPr>
      <w:r>
        <w:t xml:space="preserve">Aprobación del contenido en un máximo de 5 días hábiles por pieza.</w:t>
      </w:r>
    </w:p>
    <w:p>
      <w:pPr>
        <w:numPr>
          <w:ilvl w:val="0"/>
          <w:numId w:val="1009"/>
        </w:numPr>
        <w:pStyle w:val="Compact"/>
      </w:pPr>
      <w:r>
        <w:t xml:space="preserve">Un revisor interno (legal/compliance) para las afirmaciones sobre la relación con el Gobierno de Panamá.</w:t>
      </w:r>
    </w:p>
    <w:bookmarkEnd w:id="33"/>
    <w:bookmarkStart w:id="34" w:name="supuestos-y-riesgos"/>
    <w:p>
      <w:pPr>
        <w:pStyle w:val="Heading1"/>
      </w:pPr>
      <w:r>
        <w:t xml:space="preserve">9. Supuestos y riesgos</w:t>
      </w:r>
    </w:p>
    <w:p>
      <w:pPr>
        <w:numPr>
          <w:ilvl w:val="0"/>
          <w:numId w:val="1010"/>
        </w:numPr>
        <w:pStyle w:val="Compact"/>
      </w:pPr>
      <w:r>
        <w:t xml:space="preserve">Los volúmenes de búsqueda son aproximados y varios términos del programa no tienen dato por su bajo volumen.</w:t>
      </w:r>
    </w:p>
    <w:p>
      <w:pPr>
        <w:numPr>
          <w:ilvl w:val="0"/>
          <w:numId w:val="1010"/>
        </w:numPr>
        <w:pStyle w:val="Compact"/>
      </w:pPr>
      <w:r>
        <w:t xml:space="preserve">Sin la decisión de arquitectura entre ambos dominios, mercan.pa seguirá compitiendo con mercan.com.</w:t>
      </w:r>
    </w:p>
    <w:p>
      <w:pPr>
        <w:numPr>
          <w:ilvl w:val="0"/>
          <w:numId w:val="1010"/>
        </w:numPr>
        <w:pStyle w:val="Compact"/>
      </w:pPr>
      <w:r>
        <w:t xml:space="preserve">Los plazos de posicionamiento dependen de Google y no se garantizan posiciones específicas.</w:t>
      </w:r>
    </w:p>
    <w:p>
      <w:pPr>
        <w:numPr>
          <w:ilvl w:val="0"/>
          <w:numId w:val="1010"/>
        </w:numPr>
        <w:pStyle w:val="Compact"/>
      </w:pPr>
      <w:r>
        <w:t xml:space="preserve">Toda afirmación sobre estatus oficial o alianzas se publicará únicamente con respaldo documental.</w:t>
      </w:r>
    </w:p>
    <w:bookmarkEnd w:id="34"/>
    <w:bookmarkStart w:id="35" w:name="próximos-pasos"/>
    <w:p>
      <w:pPr>
        <w:pStyle w:val="Heading1"/>
      </w:pPr>
      <w:r>
        <w:t xml:space="preserve">10. Próximos pasos</w:t>
      </w:r>
    </w:p>
    <w:p>
      <w:pPr>
        <w:numPr>
          <w:ilvl w:val="0"/>
          <w:numId w:val="1011"/>
        </w:numPr>
        <w:pStyle w:val="Compact"/>
      </w:pPr>
      <w:r>
        <w:t xml:space="preserve">Reunión de revisión de la propuesta (30–45 min).</w:t>
      </w:r>
    </w:p>
    <w:p>
      <w:pPr>
        <w:numPr>
          <w:ilvl w:val="0"/>
          <w:numId w:val="1011"/>
        </w:numPr>
        <w:pStyle w:val="Compact"/>
      </w:pPr>
      <w:r>
        <w:t xml:space="preserve">Firma y envío de accesos.</w:t>
      </w:r>
    </w:p>
    <w:p>
      <w:pPr>
        <w:numPr>
          <w:ilvl w:val="0"/>
          <w:numId w:val="1011"/>
        </w:numPr>
        <w:pStyle w:val="Compact"/>
      </w:pPr>
      <w:r>
        <w:t xml:space="preserve">Taller de arquitectura y arranque de la Fase 0 (semana 1).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ejecución SEO</dc:title>
  <dc:creator>[AGENCIA / CONSULTOR]</dc:creator>
  <dc:language>es</dc:language>
  <cp:keywords/>
  <dcterms:created xsi:type="dcterms:W3CDTF">2026-10-16T02:46:36Z</dcterms:created>
  <dcterms:modified xsi:type="dcterms:W3CDTF">2026-10-16T02:46:36Z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Octubre 2026</vt:lpwstr>
  </property>
  <property fmtid="{D5CDD505-2E9C-101B-9397-08002B2CF9AE}" pid="3" name="subtitle">
    <vt:lpwstr>Mercan Group Panama · mercan.pa</vt:lpwstr>
  </property>
</Properties>
</file>