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2"/>
          <w:szCs w:val="32"/>
        </w:rPr>
        <w:t xml:space="preserve">Barclays EMEA Reporting Tool</w:t>
      </w:r>
    </w:p>
    <w:p>
      <w:pPr>
        <w:pStyle w:val="Heading2"/>
      </w:pPr>
      <w:r>
        <w:rPr>
          <w:rFonts w:ascii="Arial" w:cs="Arial" w:eastAsia="Arial" w:hAnsi="Arial"/>
          <w:b/>
          <w:bCs/>
          <w:color w:val="2E75B6"/>
          <w:sz w:val="24"/>
          <w:szCs w:val="24"/>
        </w:rPr>
        <w:t xml:space="preserve">Architecture Flow Table — Target State (Databricks)</w:t>
      </w:r>
    </w:p>
    <w:p>
      <w:pPr>
        <w:spacing w:after="160"/>
      </w:pPr>
      <w:r>
        <w:rPr>
          <w:rFonts w:ascii="Arial" w:cs="Arial" w:eastAsia="Arial" w:hAnsi="Arial"/>
          <w:sz w:val="18"/>
          <w:szCs w:val="18"/>
        </w:rPr>
        <w:t xml:space="preserve">This table describes all numbered data flows in the target state architecture. Flow numbers correspond to the </w:t>
      </w:r>
      <w:r>
        <w:rPr>
          <w:rFonts w:ascii="Arial" w:cs="Arial" w:eastAsia="Arial" w:hAnsi="Arial"/>
          <w:b/>
          <w:bCs/>
          <w:sz w:val="18"/>
          <w:szCs w:val="18"/>
        </w:rPr>
        <w:t xml:space="preserve">Security Vision Document v1.1</w:t>
      </w:r>
      <w:r>
        <w:rPr>
          <w:rFonts w:ascii="Arial" w:cs="Arial" w:eastAsia="Arial" w:hAnsi="Arial"/>
          <w:sz w:val="18"/>
          <w:szCs w:val="18"/>
        </w:rPr>
        <w:t xml:space="preserve">. The </w:t>
      </w:r>
      <w:r>
        <w:rPr>
          <w:rFonts w:ascii="Arial" w:cs="Arial" w:eastAsia="Arial" w:hAnsi="Arial"/>
          <w:b/>
          <w:bCs/>
          <w:sz w:val="18"/>
          <w:szCs w:val="18"/>
        </w:rPr>
        <w:t xml:space="preserve">Protocol / Technology of connection</w:t>
      </w:r>
      <w:r>
        <w:rPr>
          <w:rFonts w:ascii="Arial" w:cs="Arial" w:eastAsia="Arial" w:hAnsi="Arial"/>
          <w:sz w:val="18"/>
          <w:szCs w:val="18"/>
        </w:rPr>
        <w:t xml:space="preserve"> column reflects the target state protocol. The </w:t>
      </w:r>
      <w:r>
        <w:rPr>
          <w:rFonts w:ascii="Arial" w:cs="Arial" w:eastAsia="Arial" w:hAnsi="Arial"/>
          <w:b/>
          <w:bCs/>
          <w:sz w:val="18"/>
          <w:szCs w:val="18"/>
        </w:rPr>
        <w:t xml:space="preserve">Associated security controls</w:t>
      </w:r>
      <w:r>
        <w:rPr>
          <w:rFonts w:ascii="Arial" w:cs="Arial" w:eastAsia="Arial" w:hAnsi="Arial"/>
          <w:sz w:val="18"/>
          <w:szCs w:val="18"/>
        </w:rPr>
        <w:t xml:space="preserve"> column lists controls that must be reproduced or verified on the Databricks side — they are not optional.</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400"/>
        <w:gridCol w:w="2600"/>
        <w:gridCol w:w="4880"/>
      </w:tblGrid>
      <w:tr>
        <w:tc>
          <w:tcPr>
            <w:gridSpan w:val="5"/>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spacing w:after="0"/>
              <w:jc w:val="left"/>
            </w:pPr>
            <w:r>
              <w:rPr>
                <w:rFonts w:ascii="Arial" w:cs="Arial" w:eastAsia="Arial" w:hAnsi="Arial"/>
                <w:b/>
                <w:bCs/>
                <w:i w:val="false"/>
                <w:iCs w:val="false"/>
                <w:color w:val="1F3864"/>
                <w:sz w:val="18"/>
                <w:szCs w:val="18"/>
              </w:rPr>
              <w:t xml:space="preserve">Section 1 — Data Ingestion (EDP &amp; Batch → Databricks Bronze Layer)</w:t>
            </w:r>
          </w:p>
        </w:tc>
      </w:tr>
      <w:tr>
        <w:trPr>
          <w:tblHeader/>
        </w:trPr>
        <w:tc>
          <w:tcPr>
            <w:tcW w:type="dxa" w:w="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No.</w:t>
            </w:r>
          </w:p>
        </w:tc>
        <w:tc>
          <w:tcPr>
            <w:tcW w:type="dxa" w:w="2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Flow</w:t>
            </w:r>
          </w:p>
        </w:tc>
        <w:tc>
          <w:tcPr>
            <w:tcW w:type="dxa" w:w="3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Description / Functionality</w:t>
            </w:r>
          </w:p>
        </w:tc>
        <w:tc>
          <w:tcPr>
            <w:tcW w:type="dxa" w:w="2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Protocol / Technology of connection</w:t>
            </w:r>
          </w:p>
        </w:tc>
        <w:tc>
          <w:tcPr>
            <w:tcW w:type="dxa" w:w="488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Associated security controls</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00000"/>
                <w:sz w:val="18"/>
                <w:szCs w:val="18"/>
              </w:rPr>
              <w:t xml:space="preserve">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EDP sends data to Databricks Bronze Layer</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EDP (Enterprise Data Platform) acts as the single standardised ingestion gateway. It forwards governed, quality-checked data into the Databricks Bronze Layer as the primary entry point for all source systems.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EDP connector → Databricks ingest API</w:t>
            </w:r>
          </w:p>
          <w:p>
            <w:pPr>
              <w:spacing w:after="0"/>
              <w:jc w:val="left"/>
            </w:pPr>
            <w:r>
              <w:rPr>
                <w:rFonts w:ascii="Arial" w:cs="Arial" w:eastAsia="Arial" w:hAnsi="Arial"/>
                <w:b w:val="false"/>
                <w:bCs w:val="false"/>
                <w:i w:val="false"/>
                <w:iCs w:val="false"/>
                <w:color w:val="000000"/>
                <w:sz w:val="18"/>
                <w:szCs w:val="18"/>
              </w:rPr>
              <w:t xml:space="preserve">Delta table (append-only)</w:t>
            </w:r>
          </w:p>
        </w:tc>
        <w:tc>
          <w:tcPr>
            <w:tcW w:type="dxa" w:w="4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ind w:left="160" w:hanging="160"/>
            </w:pPr>
            <w:r>
              <w:rPr>
                <w:rFonts w:ascii="Arial" w:cs="Arial" w:eastAsia="Arial" w:hAnsi="Arial"/>
                <w:b w:val="false"/>
                <w:bCs w:val="false"/>
                <w:i w:val="false"/>
                <w:iCs w:val="false"/>
                <w:color w:val="000000"/>
                <w:sz w:val="18"/>
                <w:szCs w:val="18"/>
              </w:rPr>
              <w:t xml:space="preserve">•  Access restricted to EDP ingestion service account</w:t>
            </w:r>
          </w:p>
          <w:p>
            <w:pPr>
              <w:spacing w:after="0"/>
              <w:ind w:left="160" w:hanging="160"/>
            </w:pPr>
            <w:r>
              <w:rPr>
                <w:rFonts w:ascii="Arial" w:cs="Arial" w:eastAsia="Arial" w:hAnsi="Arial"/>
                <w:b w:val="false"/>
                <w:bCs w:val="false"/>
                <w:i w:val="false"/>
                <w:iCs w:val="false"/>
                <w:color w:val="000000"/>
                <w:sz w:val="18"/>
                <w:szCs w:val="18"/>
              </w:rPr>
              <w:t xml:space="preserve">•  Databricks secret scope replaces any plain-text credential storage</w:t>
            </w:r>
          </w:p>
          <w:p>
            <w:pPr>
              <w:spacing w:after="0"/>
              <w:ind w:left="160" w:hanging="160"/>
            </w:pPr>
            <w:r>
              <w:rPr>
                <w:rFonts w:ascii="Arial" w:cs="Arial" w:eastAsia="Arial" w:hAnsi="Arial"/>
                <w:b w:val="false"/>
                <w:bCs w:val="false"/>
                <w:i w:val="false"/>
                <w:iCs w:val="false"/>
                <w:color w:val="000000"/>
                <w:sz w:val="18"/>
                <w:szCs w:val="18"/>
              </w:rPr>
              <w:t xml:space="preserve">•  Full audit trail preserved in Bronze Layer (append-only Delta tables)</w:t>
            </w:r>
          </w:p>
          <w:p>
            <w:pPr>
              <w:spacing w:after="0"/>
              <w:ind w:left="160" w:hanging="160"/>
            </w:pPr>
            <w:r>
              <w:rPr>
                <w:rFonts w:ascii="Arial" w:cs="Arial" w:eastAsia="Arial" w:hAnsi="Arial"/>
                <w:b w:val="false"/>
                <w:bCs w:val="false"/>
                <w:i w:val="false"/>
                <w:iCs w:val="false"/>
                <w:color w:val="000000"/>
                <w:sz w:val="18"/>
                <w:szCs w:val="18"/>
              </w:rPr>
              <w:t xml:space="preserve">•  Lineage tracked via Unity Catalog</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00000"/>
                <w:sz w:val="18"/>
                <w:szCs w:val="18"/>
              </w:rPr>
              <w:t xml:space="preserve">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Batch / file transfer feeds Bronze Layer</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Batch jobs and file transfers (SFTP, ODBC) from 30+ upstream source systems land data directly into the Bronze Layer, in parallel with EDP. This covers BIW daily pull and all SFTP push flows from sources.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SFTP Protocol</w:t>
            </w:r>
          </w:p>
          <w:p>
            <w:pPr>
              <w:spacing w:after="0"/>
              <w:jc w:val="left"/>
            </w:pPr>
            <w:r>
              <w:rPr>
                <w:rFonts w:ascii="Arial" w:cs="Arial" w:eastAsia="Arial" w:hAnsi="Arial"/>
                <w:b w:val="false"/>
                <w:bCs w:val="false"/>
                <w:i w:val="false"/>
                <w:iCs w:val="false"/>
                <w:color w:val="000000"/>
                <w:sz w:val="18"/>
                <w:szCs w:val="18"/>
              </w:rPr>
              <w:t xml:space="preserve">ODBC (BIW daily batch)</w:t>
            </w:r>
          </w:p>
          <w:p>
            <w:pPr>
              <w:spacing w:after="0"/>
              <w:jc w:val="left"/>
            </w:pPr>
            <w:r>
              <w:rPr>
                <w:rFonts w:ascii="Arial" w:cs="Arial" w:eastAsia="Arial" w:hAnsi="Arial"/>
                <w:b w:val="false"/>
                <w:bCs w:val="false"/>
                <w:i w:val="false"/>
                <w:iCs w:val="false"/>
                <w:color w:val="000000"/>
                <w:sz w:val="18"/>
                <w:szCs w:val="18"/>
              </w:rPr>
              <w:t xml:space="preserve">Direct source connection or via DTU/USDTU</w:t>
            </w:r>
          </w:p>
        </w:tc>
        <w:tc>
          <w:tcPr>
            <w:tcW w:type="dxa" w:w="4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ind w:left="160" w:hanging="160"/>
            </w:pPr>
            <w:r>
              <w:rPr>
                <w:rFonts w:ascii="Arial" w:cs="Arial" w:eastAsia="Arial" w:hAnsi="Arial"/>
                <w:b w:val="false"/>
                <w:bCs w:val="false"/>
                <w:i w:val="false"/>
                <w:iCs w:val="false"/>
                <w:color w:val="000000"/>
                <w:sz w:val="18"/>
                <w:szCs w:val="18"/>
              </w:rPr>
              <w:t xml:space="preserve">•  Public Key Authentication and authorization</w:t>
            </w:r>
          </w:p>
          <w:p>
            <w:pPr>
              <w:spacing w:after="0"/>
              <w:ind w:left="160" w:hanging="160"/>
            </w:pPr>
            <w:r>
              <w:rPr>
                <w:rFonts w:ascii="Arial" w:cs="Arial" w:eastAsia="Arial" w:hAnsi="Arial"/>
                <w:b w:val="false"/>
                <w:bCs w:val="false"/>
                <w:i w:val="false"/>
                <w:iCs w:val="false"/>
                <w:color w:val="000000"/>
                <w:sz w:val="18"/>
                <w:szCs w:val="18"/>
              </w:rPr>
              <w:t xml:space="preserve">•  SSH key stored on UKM portal</w:t>
            </w:r>
          </w:p>
          <w:p>
            <w:pPr>
              <w:spacing w:after="0"/>
              <w:ind w:left="160" w:hanging="160"/>
            </w:pPr>
            <w:r>
              <w:rPr>
                <w:rFonts w:ascii="Arial" w:cs="Arial" w:eastAsia="Arial" w:hAnsi="Arial"/>
                <w:b w:val="false"/>
                <w:bCs w:val="false"/>
                <w:i w:val="false"/>
                <w:iCs w:val="false"/>
                <w:color w:val="000000"/>
                <w:sz w:val="18"/>
                <w:szCs w:val="18"/>
              </w:rPr>
              <w:t xml:space="preserve">•  UKM security policy (key age lower than 2 years, minimum strong length 2048, RSA)</w:t>
            </w:r>
          </w:p>
          <w:p>
            <w:pPr>
              <w:spacing w:after="0"/>
              <w:ind w:left="160" w:hanging="160"/>
            </w:pPr>
            <w:r>
              <w:rPr>
                <w:rFonts w:ascii="Arial" w:cs="Arial" w:eastAsia="Arial" w:hAnsi="Arial"/>
                <w:b w:val="false"/>
                <w:bCs w:val="false"/>
                <w:i w:val="false"/>
                <w:iCs w:val="false"/>
                <w:color w:val="000000"/>
                <w:sz w:val="18"/>
                <w:szCs w:val="18"/>
              </w:rPr>
              <w:t xml:space="preserve">•  Secure data exchange</w:t>
            </w:r>
          </w:p>
          <w:p>
            <w:pPr>
              <w:spacing w:after="0"/>
              <w:ind w:left="160" w:hanging="160"/>
            </w:pPr>
            <w:r>
              <w:rPr>
                <w:rFonts w:ascii="Arial" w:cs="Arial" w:eastAsia="Arial" w:hAnsi="Arial"/>
                <w:b w:val="false"/>
                <w:bCs w:val="false"/>
                <w:i w:val="false"/>
                <w:iCs w:val="false"/>
                <w:color w:val="000000"/>
                <w:sz w:val="18"/>
                <w:szCs w:val="18"/>
              </w:rPr>
              <w:t xml:space="preserve">•  Logging</w:t>
            </w:r>
          </w:p>
        </w:tc>
      </w:tr>
      <w:tr>
        <w:tc>
          <w:tcPr>
            <w:gridSpan w:val="5"/>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spacing w:after="0"/>
              <w:jc w:val="left"/>
            </w:pPr>
            <w:r>
              <w:rPr>
                <w:rFonts w:ascii="Arial" w:cs="Arial" w:eastAsia="Arial" w:hAnsi="Arial"/>
                <w:b/>
                <w:bCs/>
                <w:i w:val="false"/>
                <w:iCs w:val="false"/>
                <w:color w:val="1F3864"/>
                <w:sz w:val="18"/>
                <w:szCs w:val="18"/>
              </w:rPr>
              <w:t xml:space="preserve">Section 2 — Presentation &amp; Reporting (replaces QlickView + direct Oracle connections)</w:t>
            </w:r>
          </w:p>
        </w:tc>
      </w:tr>
      <w:tr>
        <w:trPr>
          <w:tblHeader/>
        </w:trPr>
        <w:tc>
          <w:tcPr>
            <w:tcW w:type="dxa" w:w="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No.</w:t>
            </w:r>
          </w:p>
        </w:tc>
        <w:tc>
          <w:tcPr>
            <w:tcW w:type="dxa" w:w="2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Flow</w:t>
            </w:r>
          </w:p>
        </w:tc>
        <w:tc>
          <w:tcPr>
            <w:tcW w:type="dxa" w:w="3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Description / Functionality</w:t>
            </w:r>
          </w:p>
        </w:tc>
        <w:tc>
          <w:tcPr>
            <w:tcW w:type="dxa" w:w="2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Protocol / Technology of connection</w:t>
            </w:r>
          </w:p>
        </w:tc>
        <w:tc>
          <w:tcPr>
            <w:tcW w:type="dxa" w:w="488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Associated security controls</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00000"/>
                <w:sz w:val="18"/>
                <w:szCs w:val="18"/>
              </w:rPr>
              <w:t xml:space="preserve">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Databricks API exposes Gold Layer to Power BI</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The Databricks-native API (SQL endpoint or REST) exposes report-ready datasets from the Gold Layer to Power BI with AI capabilities. This replaces QlickView reading from BERT Oracle DB via OLE DB.</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Databricks SQL endpoint / REST API</w:t>
            </w:r>
          </w:p>
          <w:p>
            <w:pPr>
              <w:spacing w:after="0"/>
              <w:jc w:val="left"/>
            </w:pPr>
            <w:r>
              <w:rPr>
                <w:rFonts w:ascii="Arial" w:cs="Arial" w:eastAsia="Arial" w:hAnsi="Arial"/>
                <w:b w:val="false"/>
                <w:bCs w:val="false"/>
                <w:i w:val="false"/>
                <w:iCs w:val="false"/>
                <w:color w:val="000000"/>
                <w:sz w:val="18"/>
                <w:szCs w:val="18"/>
              </w:rPr>
              <w:t xml:space="preserve">Power BI connector (service principal)</w:t>
            </w:r>
          </w:p>
        </w:tc>
        <w:tc>
          <w:tcPr>
            <w:tcW w:type="dxa" w:w="4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ind w:left="160" w:hanging="160"/>
            </w:pPr>
            <w:r>
              <w:rPr>
                <w:rFonts w:ascii="Arial" w:cs="Arial" w:eastAsia="Arial" w:hAnsi="Arial"/>
                <w:b w:val="false"/>
                <w:bCs w:val="false"/>
                <w:i w:val="false"/>
                <w:iCs w:val="false"/>
                <w:color w:val="000000"/>
                <w:sz w:val="18"/>
                <w:szCs w:val="18"/>
              </w:rPr>
              <w:t xml:space="preserve">•  Connection secured via Azure AD service principal or Databricks personal access token</w:t>
            </w:r>
          </w:p>
          <w:p>
            <w:pPr>
              <w:spacing w:after="0"/>
              <w:ind w:left="160" w:hanging="160"/>
            </w:pPr>
            <w:r>
              <w:rPr>
                <w:rFonts w:ascii="Arial" w:cs="Arial" w:eastAsia="Arial" w:hAnsi="Arial"/>
                <w:b w:val="false"/>
                <w:bCs w:val="false"/>
                <w:i w:val="false"/>
                <w:iCs w:val="false"/>
                <w:color w:val="000000"/>
                <w:sz w:val="18"/>
                <w:szCs w:val="18"/>
              </w:rPr>
              <w:t xml:space="preserve">•  Unity Catalog enforces read-only permissions per dataset and user group</w:t>
            </w:r>
          </w:p>
          <w:p>
            <w:pPr>
              <w:spacing w:after="0"/>
              <w:ind w:left="160" w:hanging="160"/>
            </w:pPr>
            <w:r>
              <w:rPr>
                <w:rFonts w:ascii="Arial" w:cs="Arial" w:eastAsia="Arial" w:hAnsi="Arial"/>
                <w:b w:val="false"/>
                <w:bCs w:val="false"/>
                <w:i w:val="false"/>
                <w:iCs w:val="false"/>
                <w:color w:val="000000"/>
                <w:sz w:val="18"/>
                <w:szCs w:val="18"/>
              </w:rPr>
              <w:t xml:space="preserve">•  No plain-text connection strings — secrets stored in Databricks secret scope</w:t>
            </w:r>
          </w:p>
          <w:p>
            <w:pPr>
              <w:spacing w:after="0"/>
              <w:ind w:left="160" w:hanging="160"/>
            </w:pPr>
            <w:r>
              <w:rPr>
                <w:rFonts w:ascii="Arial" w:cs="Arial" w:eastAsia="Arial" w:hAnsi="Arial"/>
                <w:b w:val="false"/>
                <w:bCs w:val="false"/>
                <w:i w:val="false"/>
                <w:iCs w:val="false"/>
                <w:color w:val="000000"/>
                <w:sz w:val="18"/>
                <w:szCs w:val="18"/>
              </w:rPr>
              <w:t xml:space="preserve">•  Logging on Databricks audit log</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00000"/>
                <w:sz w:val="18"/>
                <w:szCs w:val="18"/>
              </w:rPr>
              <w:t xml:space="preserve">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Databricks API exposes Gold Layer to BRUI</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The same Databricks-native API exposes data to BRUI, which can read and write based on user requests. This replaces the direct JDBC connection from BRUI to BERT Oracle DB.</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Databricks REST API / JDBC endpoint</w:t>
            </w:r>
          </w:p>
        </w:tc>
        <w:tc>
          <w:tcPr>
            <w:tcW w:type="dxa" w:w="4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ind w:left="160" w:hanging="160"/>
            </w:pPr>
            <w:r>
              <w:rPr>
                <w:rFonts w:ascii="Arial" w:cs="Arial" w:eastAsia="Arial" w:hAnsi="Arial"/>
                <w:b w:val="false"/>
                <w:bCs w:val="false"/>
                <w:i w:val="false"/>
                <w:iCs w:val="false"/>
                <w:color w:val="000000"/>
                <w:sz w:val="18"/>
                <w:szCs w:val="18"/>
              </w:rPr>
              <w:t xml:space="preserve">•  OAuth2 or service account authentication enforced by API layer</w:t>
            </w:r>
          </w:p>
          <w:p>
            <w:pPr>
              <w:spacing w:after="0"/>
              <w:ind w:left="160" w:hanging="160"/>
            </w:pPr>
            <w:r>
              <w:rPr>
                <w:rFonts w:ascii="Arial" w:cs="Arial" w:eastAsia="Arial" w:hAnsi="Arial"/>
                <w:b w:val="false"/>
                <w:bCs w:val="false"/>
                <w:i w:val="false"/>
                <w:iCs w:val="false"/>
                <w:color w:val="000000"/>
                <w:sz w:val="18"/>
                <w:szCs w:val="18"/>
              </w:rPr>
              <w:t xml:space="preserve">•  Read/write permissions controlled per user group via Unity Catalog</w:t>
            </w:r>
          </w:p>
          <w:p>
            <w:pPr>
              <w:spacing w:after="0"/>
              <w:ind w:left="160" w:hanging="160"/>
            </w:pPr>
            <w:r>
              <w:rPr>
                <w:rFonts w:ascii="Arial" w:cs="Arial" w:eastAsia="Arial" w:hAnsi="Arial"/>
                <w:b w:val="false"/>
                <w:bCs w:val="false"/>
                <w:i w:val="false"/>
                <w:iCs w:val="false"/>
                <w:color w:val="000000"/>
                <w:sz w:val="18"/>
                <w:szCs w:val="18"/>
              </w:rPr>
              <w:t xml:space="preserve">•  All API calls logged on Databricks audit log</w:t>
            </w:r>
          </w:p>
          <w:p>
            <w:pPr>
              <w:spacing w:after="0"/>
              <w:ind w:left="160" w:hanging="160"/>
            </w:pPr>
            <w:r>
              <w:rPr>
                <w:rFonts w:ascii="Arial" w:cs="Arial" w:eastAsia="Arial" w:hAnsi="Arial"/>
                <w:b w:val="false"/>
                <w:bCs w:val="false"/>
                <w:i w:val="false"/>
                <w:iCs w:val="false"/>
                <w:color w:val="000000"/>
                <w:sz w:val="18"/>
                <w:szCs w:val="18"/>
              </w:rPr>
              <w:t xml:space="preserve">•  Replaces unsecured JDBC connection chain — security gap closed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00000"/>
                <w:sz w:val="18"/>
                <w:szCs w:val="18"/>
              </w:rPr>
              <w:t xml:space="preserve">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End users pull data from Power BI</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Coverage / Functions users access dashboards and reports via Power BI. Read-only access. This replaces end users pulling data from QlickView (former Flow 4).</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Single Sign On — Azure AD</w:t>
            </w:r>
          </w:p>
        </w:tc>
        <w:tc>
          <w:tcPr>
            <w:tcW w:type="dxa" w:w="4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ind w:left="160" w:hanging="160"/>
            </w:pPr>
            <w:r>
              <w:rPr>
                <w:rFonts w:ascii="Arial" w:cs="Arial" w:eastAsia="Arial" w:hAnsi="Arial"/>
                <w:b w:val="false"/>
                <w:bCs w:val="false"/>
                <w:i w:val="false"/>
                <w:iCs w:val="false"/>
                <w:color w:val="000000"/>
                <w:sz w:val="18"/>
                <w:szCs w:val="18"/>
              </w:rPr>
              <w:t xml:space="preserve">•  Restricted by AD Domain group</w:t>
            </w:r>
          </w:p>
          <w:p>
            <w:pPr>
              <w:spacing w:after="0"/>
              <w:ind w:left="160" w:hanging="160"/>
            </w:pPr>
            <w:r>
              <w:rPr>
                <w:rFonts w:ascii="Arial" w:cs="Arial" w:eastAsia="Arial" w:hAnsi="Arial"/>
                <w:b w:val="false"/>
                <w:bCs w:val="false"/>
                <w:i w:val="false"/>
                <w:iCs w:val="false"/>
                <w:color w:val="000000"/>
                <w:sz w:val="18"/>
                <w:szCs w:val="18"/>
              </w:rPr>
              <w:t xml:space="preserve">•  Users must have a valid BRID and log in via SSO</w:t>
            </w:r>
          </w:p>
          <w:p>
            <w:pPr>
              <w:spacing w:after="0"/>
              <w:ind w:left="160" w:hanging="160"/>
            </w:pPr>
            <w:r>
              <w:rPr>
                <w:rFonts w:ascii="Arial" w:cs="Arial" w:eastAsia="Arial" w:hAnsi="Arial"/>
                <w:b w:val="false"/>
                <w:bCs w:val="false"/>
                <w:i w:val="false"/>
                <w:iCs w:val="false"/>
                <w:color w:val="000000"/>
                <w:sz w:val="18"/>
                <w:szCs w:val="18"/>
              </w:rPr>
              <w:t xml:space="preserve">•  User Groups control access to screens and datasets within Power BI (segregation of duties)</w:t>
            </w:r>
          </w:p>
          <w:p>
            <w:pPr>
              <w:spacing w:after="0"/>
              <w:ind w:left="160" w:hanging="160"/>
            </w:pPr>
            <w:r>
              <w:rPr>
                <w:rFonts w:ascii="Arial" w:cs="Arial" w:eastAsia="Arial" w:hAnsi="Arial"/>
                <w:b w:val="false"/>
                <w:bCs w:val="false"/>
                <w:i w:val="false"/>
                <w:iCs w:val="false"/>
                <w:color w:val="000000"/>
                <w:sz w:val="18"/>
                <w:szCs w:val="18"/>
              </w:rPr>
              <w:t xml:space="preserve">•  Screens are read-only</w:t>
            </w:r>
          </w:p>
          <w:p>
            <w:pPr>
              <w:spacing w:after="0"/>
              <w:ind w:left="160" w:hanging="160"/>
            </w:pPr>
            <w:r>
              <w:rPr>
                <w:rFonts w:ascii="Arial" w:cs="Arial" w:eastAsia="Arial" w:hAnsi="Arial"/>
                <w:b w:val="false"/>
                <w:bCs w:val="false"/>
                <w:i w:val="false"/>
                <w:iCs w:val="false"/>
                <w:color w:val="000000"/>
                <w:sz w:val="18"/>
                <w:szCs w:val="18"/>
              </w:rPr>
              <w:t xml:space="preserve">•  Logging on Databricks audit log</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00000"/>
                <w:sz w:val="18"/>
                <w:szCs w:val="18"/>
              </w:rPr>
              <w:t xml:space="preserve">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End users read/write data from/to BRUI</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End users can read or write data on BRUI from/to the Databricks platform. They can also upload data files to generate and download final reports. This replaces former Flow 6 (BRUI direct to BERT Oracle).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Single Sign On — Azure AD</w:t>
            </w:r>
          </w:p>
        </w:tc>
        <w:tc>
          <w:tcPr>
            <w:tcW w:type="dxa" w:w="4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ind w:left="160" w:hanging="160"/>
            </w:pPr>
            <w:r>
              <w:rPr>
                <w:rFonts w:ascii="Arial" w:cs="Arial" w:eastAsia="Arial" w:hAnsi="Arial"/>
                <w:b w:val="false"/>
                <w:bCs w:val="false"/>
                <w:i w:val="false"/>
                <w:iCs w:val="false"/>
                <w:color w:val="000000"/>
                <w:sz w:val="18"/>
                <w:szCs w:val="18"/>
              </w:rPr>
              <w:t xml:space="preserve">•  Restricted by AD Domain group</w:t>
            </w:r>
          </w:p>
          <w:p>
            <w:pPr>
              <w:spacing w:after="0"/>
              <w:ind w:left="160" w:hanging="160"/>
            </w:pPr>
            <w:r>
              <w:rPr>
                <w:rFonts w:ascii="Arial" w:cs="Arial" w:eastAsia="Arial" w:hAnsi="Arial"/>
                <w:b w:val="false"/>
                <w:bCs w:val="false"/>
                <w:i w:val="false"/>
                <w:iCs w:val="false"/>
                <w:color w:val="000000"/>
                <w:sz w:val="18"/>
                <w:szCs w:val="18"/>
              </w:rPr>
              <w:t xml:space="preserve">•  Users must have a valid BRID and log in via SSO</w:t>
            </w:r>
          </w:p>
          <w:p>
            <w:pPr>
              <w:spacing w:after="0"/>
              <w:ind w:left="160" w:hanging="160"/>
            </w:pPr>
            <w:r>
              <w:rPr>
                <w:rFonts w:ascii="Arial" w:cs="Arial" w:eastAsia="Arial" w:hAnsi="Arial"/>
                <w:b w:val="false"/>
                <w:bCs w:val="false"/>
                <w:i w:val="false"/>
                <w:iCs w:val="false"/>
                <w:color w:val="000000"/>
                <w:sz w:val="18"/>
                <w:szCs w:val="18"/>
              </w:rPr>
              <w:t xml:space="preserve">•  User Groups: screens can be read-only or read/write within a user group (segregation of duties)</w:t>
            </w:r>
          </w:p>
          <w:p>
            <w:pPr>
              <w:spacing w:after="0"/>
              <w:ind w:left="160" w:hanging="160"/>
            </w:pPr>
            <w:r>
              <w:rPr>
                <w:rFonts w:ascii="Arial" w:cs="Arial" w:eastAsia="Arial" w:hAnsi="Arial"/>
                <w:b w:val="false"/>
                <w:bCs w:val="false"/>
                <w:i w:val="false"/>
                <w:iCs w:val="false"/>
                <w:color w:val="000000"/>
                <w:sz w:val="18"/>
                <w:szCs w:val="18"/>
              </w:rPr>
              <w:t xml:space="preserve">•  File upload/download managed via secured EDP object storage (encryption at rest)</w:t>
            </w:r>
          </w:p>
          <w:p>
            <w:pPr>
              <w:spacing w:after="0"/>
              <w:ind w:left="160" w:hanging="160"/>
            </w:pPr>
            <w:r>
              <w:rPr>
                <w:rFonts w:ascii="Arial" w:cs="Arial" w:eastAsia="Arial" w:hAnsi="Arial"/>
                <w:b w:val="false"/>
                <w:bCs w:val="false"/>
                <w:i w:val="false"/>
                <w:iCs w:val="false"/>
                <w:color w:val="000000"/>
                <w:sz w:val="18"/>
                <w:szCs w:val="18"/>
              </w:rPr>
              <w:t xml:space="preserve">•  Logging on Databricks audit log</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00000"/>
                <w:sz w:val="18"/>
                <w:szCs w:val="18"/>
              </w:rPr>
              <w:t xml:space="preserve">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BRUI communicates with legacy BRIN during bimodal transition</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During the migration period, BRUI maintains a connection to the legacy BRIN backend (Oracle 12c) for non-migrated flows. This flow is temporary and will be decommissioned once migration is complete.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JDBC connection string (temporary — bimodal transition only)</w:t>
            </w:r>
          </w:p>
        </w:tc>
        <w:tc>
          <w:tcPr>
            <w:tcW w:type="dxa" w:w="4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ind w:left="160" w:hanging="160"/>
            </w:pPr>
            <w:r>
              <w:rPr>
                <w:rFonts w:ascii="Arial" w:cs="Arial" w:eastAsia="Arial" w:hAnsi="Arial"/>
                <w:b w:val="false"/>
                <w:bCs w:val="false"/>
                <w:i w:val="false"/>
                <w:iCs w:val="false"/>
                <w:color w:val="000000"/>
                <w:sz w:val="18"/>
                <w:szCs w:val="18"/>
              </w:rPr>
              <w:t xml:space="preserve">•  Not secured based on connection chain — known gap, to be decommissioned</w:t>
            </w:r>
          </w:p>
          <w:p>
            <w:pPr>
              <w:spacing w:after="0"/>
              <w:ind w:left="160" w:hanging="160"/>
            </w:pPr>
            <w:r>
              <w:rPr>
                <w:rFonts w:ascii="Arial" w:cs="Arial" w:eastAsia="Arial" w:hAnsi="Arial"/>
                <w:b w:val="false"/>
                <w:bCs w:val="false"/>
                <w:i w:val="false"/>
                <w:iCs w:val="false"/>
                <w:color w:val="000000"/>
                <w:sz w:val="18"/>
                <w:szCs w:val="18"/>
              </w:rPr>
              <w:t xml:space="preserve">•  Scope limited to non-migrated source flows only (BIW direct channels)</w:t>
            </w:r>
          </w:p>
          <w:p>
            <w:pPr>
              <w:spacing w:after="0"/>
              <w:ind w:left="160" w:hanging="160"/>
            </w:pPr>
            <w:r>
              <w:rPr>
                <w:rFonts w:ascii="Arial" w:cs="Arial" w:eastAsia="Arial" w:hAnsi="Arial"/>
                <w:b w:val="false"/>
                <w:bCs w:val="false"/>
                <w:i w:val="false"/>
                <w:iCs w:val="false"/>
                <w:color w:val="000000"/>
                <w:sz w:val="18"/>
                <w:szCs w:val="18"/>
              </w:rPr>
              <w:t xml:space="preserve">•  Logging on DB</w:t>
            </w:r>
          </w:p>
        </w:tc>
      </w:tr>
      <w:tr>
        <w:tc>
          <w:tcPr>
            <w:gridSpan w:val="5"/>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spacing w:after="0"/>
              <w:jc w:val="left"/>
            </w:pPr>
            <w:r>
              <w:rPr>
                <w:rFonts w:ascii="Arial" w:cs="Arial" w:eastAsia="Arial" w:hAnsi="Arial"/>
                <w:b/>
                <w:bCs/>
                <w:i w:val="false"/>
                <w:iCs w:val="false"/>
                <w:color w:val="1F3864"/>
                <w:sz w:val="18"/>
                <w:szCs w:val="18"/>
              </w:rPr>
              <w:t xml:space="preserve">Section 3 — Called Services: SFTP outbound flows (Gateway Axway Barclaycard &amp; MFT DTU)</w:t>
            </w:r>
          </w:p>
        </w:tc>
      </w:tr>
      <w:tr>
        <w:trPr>
          <w:tblHeader/>
        </w:trPr>
        <w:tc>
          <w:tcPr>
            <w:tcW w:type="dxa" w:w="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No.</w:t>
            </w:r>
          </w:p>
        </w:tc>
        <w:tc>
          <w:tcPr>
            <w:tcW w:type="dxa" w:w="2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Flow</w:t>
            </w:r>
          </w:p>
        </w:tc>
        <w:tc>
          <w:tcPr>
            <w:tcW w:type="dxa" w:w="3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Description / Functionality</w:t>
            </w:r>
          </w:p>
        </w:tc>
        <w:tc>
          <w:tcPr>
            <w:tcW w:type="dxa" w:w="2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Protocol / Technology of connection</w:t>
            </w:r>
          </w:p>
        </w:tc>
        <w:tc>
          <w:tcPr>
            <w:tcW w:type="dxa" w:w="488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Associated security controls</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00000"/>
                <w:sz w:val="18"/>
                <w:szCs w:val="18"/>
              </w:rPr>
              <w:t xml:space="preserve">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BRIN send and receive files via Axway Gateway Barclaycard</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BRIN sends and receives files in SFTP to/from Axway Gateway Barclaycard, which routes to/from German and Ireland Regulators. In target state, the Gold Layer generates the output files and triggers the SFTP push.</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SFTP</w:t>
            </w:r>
          </w:p>
        </w:tc>
        <w:tc>
          <w:tcPr>
            <w:tcW w:type="dxa" w:w="4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ind w:left="160" w:hanging="160"/>
            </w:pPr>
            <w:r>
              <w:rPr>
                <w:rFonts w:ascii="Arial" w:cs="Arial" w:eastAsia="Arial" w:hAnsi="Arial"/>
                <w:b w:val="false"/>
                <w:bCs w:val="false"/>
                <w:i w:val="false"/>
                <w:iCs w:val="false"/>
                <w:color w:val="000000"/>
                <w:sz w:val="18"/>
                <w:szCs w:val="18"/>
              </w:rPr>
              <w:t xml:space="preserve">•  Public Key Authentication and authorization</w:t>
            </w:r>
          </w:p>
          <w:p>
            <w:pPr>
              <w:spacing w:after="0"/>
              <w:ind w:left="160" w:hanging="160"/>
            </w:pPr>
            <w:r>
              <w:rPr>
                <w:rFonts w:ascii="Arial" w:cs="Arial" w:eastAsia="Arial" w:hAnsi="Arial"/>
                <w:b w:val="false"/>
                <w:bCs w:val="false"/>
                <w:i w:val="false"/>
                <w:iCs w:val="false"/>
                <w:color w:val="000000"/>
                <w:sz w:val="18"/>
                <w:szCs w:val="18"/>
              </w:rPr>
              <w:t xml:space="preserve">•  SSH key stored on UKM portal</w:t>
            </w:r>
          </w:p>
          <w:p>
            <w:pPr>
              <w:spacing w:after="0"/>
              <w:ind w:left="160" w:hanging="160"/>
            </w:pPr>
            <w:r>
              <w:rPr>
                <w:rFonts w:ascii="Arial" w:cs="Arial" w:eastAsia="Arial" w:hAnsi="Arial"/>
                <w:b w:val="false"/>
                <w:bCs w:val="false"/>
                <w:i w:val="false"/>
                <w:iCs w:val="false"/>
                <w:color w:val="000000"/>
                <w:sz w:val="18"/>
                <w:szCs w:val="18"/>
              </w:rPr>
              <w:t xml:space="preserve">•  UKM security policy (key age lower than 2 years, minimum strong length 2048, RSA)</w:t>
            </w:r>
          </w:p>
          <w:p>
            <w:pPr>
              <w:spacing w:after="0"/>
              <w:ind w:left="160" w:hanging="160"/>
            </w:pPr>
            <w:r>
              <w:rPr>
                <w:rFonts w:ascii="Arial" w:cs="Arial" w:eastAsia="Arial" w:hAnsi="Arial"/>
                <w:b w:val="false"/>
                <w:bCs w:val="false"/>
                <w:i w:val="false"/>
                <w:iCs w:val="false"/>
                <w:color w:val="000000"/>
                <w:sz w:val="18"/>
                <w:szCs w:val="18"/>
              </w:rPr>
              <w:t xml:space="preserve">•  Secure data exchange</w:t>
            </w:r>
          </w:p>
          <w:p>
            <w:pPr>
              <w:spacing w:after="0"/>
              <w:ind w:left="160" w:hanging="160"/>
            </w:pPr>
            <w:r>
              <w:rPr>
                <w:rFonts w:ascii="Arial" w:cs="Arial" w:eastAsia="Arial" w:hAnsi="Arial"/>
                <w:b w:val="false"/>
                <w:bCs w:val="false"/>
                <w:i w:val="false"/>
                <w:iCs w:val="false"/>
                <w:color w:val="000000"/>
                <w:sz w:val="18"/>
                <w:szCs w:val="18"/>
              </w:rPr>
              <w:t xml:space="preserve">•  Logging</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00000"/>
                <w:sz w:val="18"/>
                <w:szCs w:val="18"/>
              </w:rPr>
              <w:t xml:space="preserve">8a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Axway Gateway Barclaycard routing to/from German Regulator</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Axway Barclaycard routes files to/from the German Regulator in SFTP. No change to Axway routing configuration — Databricks Gold Layer replaces Oracle as file generator.</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SFTP</w:t>
            </w:r>
          </w:p>
        </w:tc>
        <w:tc>
          <w:tcPr>
            <w:tcW w:type="dxa" w:w="4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ind w:left="160" w:hanging="160"/>
            </w:pPr>
            <w:r>
              <w:rPr>
                <w:rFonts w:ascii="Arial" w:cs="Arial" w:eastAsia="Arial" w:hAnsi="Arial"/>
                <w:b w:val="false"/>
                <w:bCs w:val="false"/>
                <w:i w:val="false"/>
                <w:iCs w:val="false"/>
                <w:color w:val="000000"/>
                <w:sz w:val="18"/>
                <w:szCs w:val="18"/>
              </w:rPr>
              <w:t xml:space="preserve">•  Same controls as Flow 8</w:t>
            </w:r>
          </w:p>
          <w:p>
            <w:pPr>
              <w:spacing w:after="0"/>
              <w:ind w:left="160" w:hanging="160"/>
            </w:pPr>
            <w:r>
              <w:rPr>
                <w:rFonts w:ascii="Arial" w:cs="Arial" w:eastAsia="Arial" w:hAnsi="Arial"/>
                <w:b w:val="false"/>
                <w:bCs w:val="false"/>
                <w:i w:val="false"/>
                <w:iCs w:val="false"/>
                <w:color w:val="000000"/>
                <w:sz w:val="18"/>
                <w:szCs w:val="18"/>
              </w:rPr>
              <w:t xml:space="preserve">•  Public Key Authentication and authorization</w:t>
            </w:r>
          </w:p>
          <w:p>
            <w:pPr>
              <w:spacing w:after="0"/>
              <w:ind w:left="160" w:hanging="160"/>
            </w:pPr>
            <w:r>
              <w:rPr>
                <w:rFonts w:ascii="Arial" w:cs="Arial" w:eastAsia="Arial" w:hAnsi="Arial"/>
                <w:b w:val="false"/>
                <w:bCs w:val="false"/>
                <w:i w:val="false"/>
                <w:iCs w:val="false"/>
                <w:color w:val="000000"/>
                <w:sz w:val="18"/>
                <w:szCs w:val="18"/>
              </w:rPr>
              <w:t xml:space="preserve">•  SSH key stored on UKM portal</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00000"/>
                <w:sz w:val="18"/>
                <w:szCs w:val="18"/>
              </w:rPr>
              <w:t xml:space="preserve">8b</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Axway Gateway Barclaycard routing to/from Ireland Regulator</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Axway Barclaycard routes files to/from the Ireland Regulator in SFTP. No change to Axway routing configuration — Databricks Gold Layer replaces Oracle as file generator.</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SFTP</w:t>
            </w:r>
          </w:p>
        </w:tc>
        <w:tc>
          <w:tcPr>
            <w:tcW w:type="dxa" w:w="4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ind w:left="160" w:hanging="160"/>
            </w:pPr>
            <w:r>
              <w:rPr>
                <w:rFonts w:ascii="Arial" w:cs="Arial" w:eastAsia="Arial" w:hAnsi="Arial"/>
                <w:b w:val="false"/>
                <w:bCs w:val="false"/>
                <w:i w:val="false"/>
                <w:iCs w:val="false"/>
                <w:color w:val="000000"/>
                <w:sz w:val="18"/>
                <w:szCs w:val="18"/>
              </w:rPr>
              <w:t xml:space="preserve">•  Same controls as Flow 8</w:t>
            </w:r>
          </w:p>
          <w:p>
            <w:pPr>
              <w:spacing w:after="0"/>
              <w:ind w:left="160" w:hanging="160"/>
            </w:pPr>
            <w:r>
              <w:rPr>
                <w:rFonts w:ascii="Arial" w:cs="Arial" w:eastAsia="Arial" w:hAnsi="Arial"/>
                <w:b w:val="false"/>
                <w:bCs w:val="false"/>
                <w:i w:val="false"/>
                <w:iCs w:val="false"/>
                <w:color w:val="000000"/>
                <w:sz w:val="18"/>
                <w:szCs w:val="18"/>
              </w:rPr>
              <w:t xml:space="preserve">•  Public Key Authentication and authorization</w:t>
            </w:r>
          </w:p>
          <w:p>
            <w:pPr>
              <w:spacing w:after="0"/>
              <w:ind w:left="160" w:hanging="160"/>
            </w:pPr>
            <w:r>
              <w:rPr>
                <w:rFonts w:ascii="Arial" w:cs="Arial" w:eastAsia="Arial" w:hAnsi="Arial"/>
                <w:b w:val="false"/>
                <w:bCs w:val="false"/>
                <w:i w:val="false"/>
                <w:iCs w:val="false"/>
                <w:color w:val="000000"/>
                <w:sz w:val="18"/>
                <w:szCs w:val="18"/>
              </w:rPr>
              <w:t xml:space="preserve">•  SSH key stored on UKM portal</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00000"/>
                <w:sz w:val="18"/>
                <w:szCs w:val="18"/>
              </w:rPr>
              <w:t xml:space="preserve">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BRIN send and receive files via MFT DTU</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BRIN sends and receives files in SFTP to/from MFT DTU (Managed File Transfer DTU/USDTU), which routes to/from Spain and Luxembourg Regulators. Gold Layer generates the files in target state.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SFTP</w:t>
            </w:r>
          </w:p>
        </w:tc>
        <w:tc>
          <w:tcPr>
            <w:tcW w:type="dxa" w:w="4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ind w:left="160" w:hanging="160"/>
            </w:pPr>
            <w:r>
              <w:rPr>
                <w:rFonts w:ascii="Arial" w:cs="Arial" w:eastAsia="Arial" w:hAnsi="Arial"/>
                <w:b w:val="false"/>
                <w:bCs w:val="false"/>
                <w:i w:val="false"/>
                <w:iCs w:val="false"/>
                <w:color w:val="000000"/>
                <w:sz w:val="18"/>
                <w:szCs w:val="18"/>
              </w:rPr>
              <w:t xml:space="preserve">•  Public Key Authentication and authorization</w:t>
            </w:r>
          </w:p>
          <w:p>
            <w:pPr>
              <w:spacing w:after="0"/>
              <w:ind w:left="160" w:hanging="160"/>
            </w:pPr>
            <w:r>
              <w:rPr>
                <w:rFonts w:ascii="Arial" w:cs="Arial" w:eastAsia="Arial" w:hAnsi="Arial"/>
                <w:b w:val="false"/>
                <w:bCs w:val="false"/>
                <w:i w:val="false"/>
                <w:iCs w:val="false"/>
                <w:color w:val="000000"/>
                <w:sz w:val="18"/>
                <w:szCs w:val="18"/>
              </w:rPr>
              <w:t xml:space="preserve">•  SSH key stored on UKM portal</w:t>
            </w:r>
          </w:p>
          <w:p>
            <w:pPr>
              <w:spacing w:after="0"/>
              <w:ind w:left="160" w:hanging="160"/>
            </w:pPr>
            <w:r>
              <w:rPr>
                <w:rFonts w:ascii="Arial" w:cs="Arial" w:eastAsia="Arial" w:hAnsi="Arial"/>
                <w:b w:val="false"/>
                <w:bCs w:val="false"/>
                <w:i w:val="false"/>
                <w:iCs w:val="false"/>
                <w:color w:val="000000"/>
                <w:sz w:val="18"/>
                <w:szCs w:val="18"/>
              </w:rPr>
              <w:t xml:space="preserve">•  UKM security policy (key age lower than 2 years, minimum strong length 2048, RSA)</w:t>
            </w:r>
          </w:p>
          <w:p>
            <w:pPr>
              <w:spacing w:after="0"/>
              <w:ind w:left="160" w:hanging="160"/>
            </w:pPr>
            <w:r>
              <w:rPr>
                <w:rFonts w:ascii="Arial" w:cs="Arial" w:eastAsia="Arial" w:hAnsi="Arial"/>
                <w:b w:val="false"/>
                <w:bCs w:val="false"/>
                <w:i w:val="false"/>
                <w:iCs w:val="false"/>
                <w:color w:val="000000"/>
                <w:sz w:val="18"/>
                <w:szCs w:val="18"/>
              </w:rPr>
              <w:t xml:space="preserve">•  Secure data exchange</w:t>
            </w:r>
          </w:p>
          <w:p>
            <w:pPr>
              <w:spacing w:after="0"/>
              <w:ind w:left="160" w:hanging="160"/>
            </w:pPr>
            <w:r>
              <w:rPr>
                <w:rFonts w:ascii="Arial" w:cs="Arial" w:eastAsia="Arial" w:hAnsi="Arial"/>
                <w:b w:val="false"/>
                <w:bCs w:val="false"/>
                <w:i w:val="false"/>
                <w:iCs w:val="false"/>
                <w:color w:val="000000"/>
                <w:sz w:val="18"/>
                <w:szCs w:val="18"/>
              </w:rPr>
              <w:t xml:space="preserve">•  Logging</w:t>
            </w:r>
          </w:p>
          <w:p>
            <w:pPr>
              <w:spacing w:after="0"/>
              <w:ind w:left="160" w:hanging="160"/>
            </w:pPr>
            <w:r>
              <w:rPr>
                <w:rFonts w:ascii="Arial" w:cs="Arial" w:eastAsia="Arial" w:hAnsi="Arial"/>
                <w:b w:val="false"/>
                <w:bCs w:val="false"/>
                <w:i w:val="false"/>
                <w:iCs w:val="false"/>
                <w:color w:val="000000"/>
                <w:sz w:val="18"/>
                <w:szCs w:val="18"/>
              </w:rPr>
              <w:t xml:space="preserve">•  Managed file transfer reference: SharePoint site maintained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00000"/>
                <w:sz w:val="18"/>
                <w:szCs w:val="18"/>
              </w:rPr>
              <w:t xml:space="preserve">9a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MFT DTU routing to/from Spain Regulator</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DTU/USDTU routes files to/from the Spain Regulator in SFTP. No change to DTU routing configuration.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SFTP</w:t>
            </w:r>
          </w:p>
        </w:tc>
        <w:tc>
          <w:tcPr>
            <w:tcW w:type="dxa" w:w="4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ind w:left="160" w:hanging="160"/>
            </w:pPr>
            <w:r>
              <w:rPr>
                <w:rFonts w:ascii="Arial" w:cs="Arial" w:eastAsia="Arial" w:hAnsi="Arial"/>
                <w:b w:val="false"/>
                <w:bCs w:val="false"/>
                <w:i w:val="false"/>
                <w:iCs w:val="false"/>
                <w:color w:val="000000"/>
                <w:sz w:val="18"/>
                <w:szCs w:val="18"/>
              </w:rPr>
              <w:t xml:space="preserve">•  Same controls as Flow 9</w:t>
            </w:r>
          </w:p>
          <w:p>
            <w:pPr>
              <w:spacing w:after="0"/>
              <w:ind w:left="160" w:hanging="160"/>
            </w:pPr>
            <w:r>
              <w:rPr>
                <w:rFonts w:ascii="Arial" w:cs="Arial" w:eastAsia="Arial" w:hAnsi="Arial"/>
                <w:b w:val="false"/>
                <w:bCs w:val="false"/>
                <w:i w:val="false"/>
                <w:iCs w:val="false"/>
                <w:color w:val="000000"/>
                <w:sz w:val="18"/>
                <w:szCs w:val="18"/>
              </w:rPr>
              <w:t xml:space="preserve">•  Public Key Authentication and authorization</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00000"/>
                <w:sz w:val="18"/>
                <w:szCs w:val="18"/>
              </w:rPr>
              <w:t xml:space="preserve">9b</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MFT DTU routing to/from Luxembourg Regulator</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DTU/USDTU routes files to/from the Luxembourg Regulator in SFTP. No change to DTU routing configuration.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SFTP</w:t>
            </w:r>
          </w:p>
        </w:tc>
        <w:tc>
          <w:tcPr>
            <w:tcW w:type="dxa" w:w="4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ind w:left="160" w:hanging="160"/>
            </w:pPr>
            <w:r>
              <w:rPr>
                <w:rFonts w:ascii="Arial" w:cs="Arial" w:eastAsia="Arial" w:hAnsi="Arial"/>
                <w:b w:val="false"/>
                <w:bCs w:val="false"/>
                <w:i w:val="false"/>
                <w:iCs w:val="false"/>
                <w:color w:val="000000"/>
                <w:sz w:val="18"/>
                <w:szCs w:val="18"/>
              </w:rPr>
              <w:t xml:space="preserve">•  Same controls as Flow 9</w:t>
            </w:r>
          </w:p>
          <w:p>
            <w:pPr>
              <w:spacing w:after="0"/>
              <w:ind w:left="160" w:hanging="160"/>
            </w:pPr>
            <w:r>
              <w:rPr>
                <w:rFonts w:ascii="Arial" w:cs="Arial" w:eastAsia="Arial" w:hAnsi="Arial"/>
                <w:b w:val="false"/>
                <w:bCs w:val="false"/>
                <w:i w:val="false"/>
                <w:iCs w:val="false"/>
                <w:color w:val="000000"/>
                <w:sz w:val="18"/>
                <w:szCs w:val="18"/>
              </w:rPr>
              <w:t xml:space="preserve">•  Public Key Authentication and authorization</w:t>
            </w:r>
          </w:p>
        </w:tc>
      </w:tr>
      <w:tr>
        <w:tc>
          <w:tcPr>
            <w:gridSpan w:val="5"/>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spacing w:after="0"/>
              <w:jc w:val="left"/>
            </w:pPr>
            <w:r>
              <w:rPr>
                <w:rFonts w:ascii="Arial" w:cs="Arial" w:eastAsia="Arial" w:hAnsi="Arial"/>
                <w:b/>
                <w:bCs/>
                <w:i w:val="false"/>
                <w:iCs w:val="false"/>
                <w:color w:val="1F3864"/>
                <w:sz w:val="18"/>
                <w:szCs w:val="18"/>
              </w:rPr>
              <w:t xml:space="preserve">Section 4 — Called Services: HTTPS flows (Webservice xAPI / AMLDS → Netherlands)</w:t>
            </w:r>
          </w:p>
        </w:tc>
      </w:tr>
      <w:tr>
        <w:trPr>
          <w:tblHeader/>
        </w:trPr>
        <w:tc>
          <w:tcPr>
            <w:tcW w:type="dxa" w:w="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No.</w:t>
            </w:r>
          </w:p>
        </w:tc>
        <w:tc>
          <w:tcPr>
            <w:tcW w:type="dxa" w:w="2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Flow</w:t>
            </w:r>
          </w:p>
        </w:tc>
        <w:tc>
          <w:tcPr>
            <w:tcW w:type="dxa" w:w="3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Description / Functionality</w:t>
            </w:r>
          </w:p>
        </w:tc>
        <w:tc>
          <w:tcPr>
            <w:tcW w:type="dxa" w:w="2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Protocol / Technology of connection</w:t>
            </w:r>
          </w:p>
        </w:tc>
        <w:tc>
          <w:tcPr>
            <w:tcW w:type="dxa" w:w="488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Associated security controls</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00000"/>
                <w:sz w:val="18"/>
                <w:szCs w:val="18"/>
              </w:rPr>
              <w:t xml:space="preserve">10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BRIN call Webservice xAPI / AMLDS</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BRIN calls the xAPI / AMLDS webservice in HTTPS. In target state, the Databricks API layer or a workflow triggers the HTTPS call. The response is stored back in the Gold Layer.</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HTTPS</w:t>
            </w:r>
          </w:p>
        </w:tc>
        <w:tc>
          <w:tcPr>
            <w:tcW w:type="dxa" w:w="4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ind w:left="160" w:hanging="160"/>
            </w:pPr>
            <w:r>
              <w:rPr>
                <w:rFonts w:ascii="Arial" w:cs="Arial" w:eastAsia="Arial" w:hAnsi="Arial"/>
                <w:b w:val="false"/>
                <w:bCs w:val="false"/>
                <w:i w:val="false"/>
                <w:iCs w:val="false"/>
                <w:color w:val="000000"/>
                <w:sz w:val="18"/>
                <w:szCs w:val="18"/>
              </w:rPr>
              <w:t xml:space="preserve">•  HTTPS webservice call through ETL and API</w:t>
            </w:r>
          </w:p>
          <w:p>
            <w:pPr>
              <w:spacing w:after="0"/>
              <w:ind w:left="160" w:hanging="160"/>
            </w:pPr>
            <w:r>
              <w:rPr>
                <w:rFonts w:ascii="Arial" w:cs="Arial" w:eastAsia="Arial" w:hAnsi="Arial"/>
                <w:b w:val="false"/>
                <w:bCs w:val="false"/>
                <w:i w:val="false"/>
                <w:iCs w:val="false"/>
                <w:color w:val="000000"/>
                <w:sz w:val="18"/>
                <w:szCs w:val="18"/>
              </w:rPr>
              <w:t xml:space="preserve">•  Authentication and authorization via certificate</w:t>
            </w:r>
          </w:p>
          <w:p>
            <w:pPr>
              <w:spacing w:after="0"/>
              <w:ind w:left="160" w:hanging="160"/>
            </w:pPr>
            <w:r>
              <w:rPr>
                <w:rFonts w:ascii="Arial" w:cs="Arial" w:eastAsia="Arial" w:hAnsi="Arial"/>
                <w:b w:val="false"/>
                <w:bCs w:val="false"/>
                <w:i w:val="false"/>
                <w:iCs w:val="false"/>
                <w:color w:val="000000"/>
                <w:sz w:val="18"/>
                <w:szCs w:val="18"/>
              </w:rPr>
              <w:t xml:space="preserve">•  CN name check</w:t>
            </w:r>
          </w:p>
          <w:p>
            <w:pPr>
              <w:spacing w:after="0"/>
              <w:ind w:left="160" w:hanging="160"/>
            </w:pPr>
            <w:r>
              <w:rPr>
                <w:rFonts w:ascii="Arial" w:cs="Arial" w:eastAsia="Arial" w:hAnsi="Arial"/>
                <w:b w:val="false"/>
                <w:bCs w:val="false"/>
                <w:i w:val="false"/>
                <w:iCs w:val="false"/>
                <w:color w:val="000000"/>
                <w:sz w:val="18"/>
                <w:szCs w:val="18"/>
              </w:rPr>
              <w:t xml:space="preserve">•  TLS Encryption using TLS 1.2 with Certificates</w:t>
            </w:r>
          </w:p>
          <w:p>
            <w:pPr>
              <w:spacing w:after="0"/>
              <w:ind w:left="160" w:hanging="160"/>
            </w:pPr>
            <w:r>
              <w:rPr>
                <w:rFonts w:ascii="Arial" w:cs="Arial" w:eastAsia="Arial" w:hAnsi="Arial"/>
                <w:b w:val="false"/>
                <w:bCs w:val="false"/>
                <w:i w:val="false"/>
                <w:iCs w:val="false"/>
                <w:color w:val="000000"/>
                <w:sz w:val="18"/>
                <w:szCs w:val="18"/>
              </w:rPr>
              <w:t xml:space="preserve">•  Authentication of end points via digital certificates stored in certnow</w:t>
            </w:r>
          </w:p>
          <w:p>
            <w:pPr>
              <w:spacing w:after="0"/>
              <w:ind w:left="160" w:hanging="160"/>
            </w:pPr>
            <w:r>
              <w:rPr>
                <w:rFonts w:ascii="Arial" w:cs="Arial" w:eastAsia="Arial" w:hAnsi="Arial"/>
                <w:b w:val="false"/>
                <w:bCs w:val="false"/>
                <w:i w:val="false"/>
                <w:iCs w:val="false"/>
                <w:color w:val="000000"/>
                <w:sz w:val="18"/>
                <w:szCs w:val="18"/>
              </w:rPr>
              <w:t xml:space="preserve">•  Secure data exchange</w:t>
            </w:r>
          </w:p>
          <w:p>
            <w:pPr>
              <w:spacing w:after="0"/>
              <w:ind w:left="160" w:hanging="160"/>
            </w:pPr>
            <w:r>
              <w:rPr>
                <w:rFonts w:ascii="Arial" w:cs="Arial" w:eastAsia="Arial" w:hAnsi="Arial"/>
                <w:b w:val="false"/>
                <w:bCs w:val="false"/>
                <w:i w:val="false"/>
                <w:iCs w:val="false"/>
                <w:color w:val="000000"/>
                <w:sz w:val="18"/>
                <w:szCs w:val="18"/>
              </w:rPr>
              <w:t xml:space="preserve">•  Logging</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00000"/>
                <w:sz w:val="18"/>
                <w:szCs w:val="18"/>
              </w:rPr>
              <w:t xml:space="preserve">10a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xAPI / AMLDS exchanges data with Netherlands Regulator</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xAPI / AMLDS routes data to/from the Netherlands Regulator in FTPS. No change to this sub-flow — Databricks provides the data payload upstream.</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FTPS</w:t>
            </w:r>
          </w:p>
        </w:tc>
        <w:tc>
          <w:tcPr>
            <w:tcW w:type="dxa" w:w="4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ind w:left="160" w:hanging="160"/>
            </w:pPr>
            <w:r>
              <w:rPr>
                <w:rFonts w:ascii="Arial" w:cs="Arial" w:eastAsia="Arial" w:hAnsi="Arial"/>
                <w:b w:val="false"/>
                <w:bCs w:val="false"/>
                <w:i w:val="false"/>
                <w:iCs w:val="false"/>
                <w:color w:val="000000"/>
                <w:sz w:val="18"/>
                <w:szCs w:val="18"/>
              </w:rPr>
              <w:t xml:space="preserve">•  Double Authentication (Client/Server) and authorization via certificate and user/password</w:t>
            </w:r>
          </w:p>
          <w:p>
            <w:pPr>
              <w:spacing w:after="0"/>
              <w:ind w:left="160" w:hanging="160"/>
            </w:pPr>
            <w:r>
              <w:rPr>
                <w:rFonts w:ascii="Arial" w:cs="Arial" w:eastAsia="Arial" w:hAnsi="Arial"/>
                <w:b w:val="false"/>
                <w:bCs w:val="false"/>
                <w:i w:val="false"/>
                <w:iCs w:val="false"/>
                <w:color w:val="000000"/>
                <w:sz w:val="18"/>
                <w:szCs w:val="18"/>
              </w:rPr>
              <w:t xml:space="preserve">•  Check CN name and Certificate Authority (Globalsign)</w:t>
            </w:r>
          </w:p>
          <w:p>
            <w:pPr>
              <w:spacing w:after="0"/>
              <w:ind w:left="160" w:hanging="160"/>
            </w:pPr>
            <w:r>
              <w:rPr>
                <w:rFonts w:ascii="Arial" w:cs="Arial" w:eastAsia="Arial" w:hAnsi="Arial"/>
                <w:b w:val="false"/>
                <w:bCs w:val="false"/>
                <w:i w:val="false"/>
                <w:iCs w:val="false"/>
                <w:color w:val="000000"/>
                <w:sz w:val="18"/>
                <w:szCs w:val="18"/>
              </w:rPr>
              <w:t xml:space="preserve">•  TLS Encryption using TLS 1.2 with Certificates</w:t>
            </w:r>
          </w:p>
          <w:p>
            <w:pPr>
              <w:spacing w:after="0"/>
              <w:ind w:left="160" w:hanging="160"/>
            </w:pPr>
            <w:r>
              <w:rPr>
                <w:rFonts w:ascii="Arial" w:cs="Arial" w:eastAsia="Arial" w:hAnsi="Arial"/>
                <w:b w:val="false"/>
                <w:bCs w:val="false"/>
                <w:i w:val="false"/>
                <w:iCs w:val="false"/>
                <w:color w:val="000000"/>
                <w:sz w:val="18"/>
                <w:szCs w:val="18"/>
              </w:rPr>
              <w:t xml:space="preserve">•  Certificate stored in HSM</w:t>
            </w:r>
          </w:p>
        </w:tc>
      </w:tr>
      <w:tr>
        <w:tc>
          <w:tcPr>
            <w:gridSpan w:val="5"/>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spacing w:after="0"/>
              <w:jc w:val="left"/>
            </w:pPr>
            <w:r>
              <w:rPr>
                <w:rFonts w:ascii="Arial" w:cs="Arial" w:eastAsia="Arial" w:hAnsi="Arial"/>
                <w:b/>
                <w:bCs/>
                <w:i w:val="false"/>
                <w:iCs w:val="false"/>
                <w:color w:val="1F3864"/>
                <w:sz w:val="18"/>
                <w:szCs w:val="18"/>
              </w:rPr>
              <w:t xml:space="preserve">Section 5 — Called Services: MQ flows (CEDACRI Italy)</w:t>
            </w:r>
          </w:p>
        </w:tc>
      </w:tr>
      <w:tr>
        <w:trPr>
          <w:tblHeader/>
        </w:trPr>
        <w:tc>
          <w:tcPr>
            <w:tcW w:type="dxa" w:w="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No.</w:t>
            </w:r>
          </w:p>
        </w:tc>
        <w:tc>
          <w:tcPr>
            <w:tcW w:type="dxa" w:w="2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Flow</w:t>
            </w:r>
          </w:p>
        </w:tc>
        <w:tc>
          <w:tcPr>
            <w:tcW w:type="dxa" w:w="3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Description / Functionality</w:t>
            </w:r>
          </w:p>
        </w:tc>
        <w:tc>
          <w:tcPr>
            <w:tcW w:type="dxa" w:w="2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Protocol / Technology of connection</w:t>
            </w:r>
          </w:p>
        </w:tc>
        <w:tc>
          <w:tcPr>
            <w:tcW w:type="dxa" w:w="488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Associated security controls</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00000"/>
                <w:sz w:val="18"/>
                <w:szCs w:val="18"/>
              </w:rPr>
              <w:t xml:space="preserve">11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BRIN send and receive MQ messages</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BRIN sends and receives MQ messages routed to/from CEDACRI Italy. In target state, the Databricks Gold Layer triggers the MQ message via a workflow. Responses are ingested back into the Bronze Layer.</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MQ</w:t>
            </w:r>
          </w:p>
        </w:tc>
        <w:tc>
          <w:tcPr>
            <w:tcW w:type="dxa" w:w="4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ind w:left="160" w:hanging="160"/>
            </w:pPr>
            <w:r>
              <w:rPr>
                <w:rFonts w:ascii="Arial" w:cs="Arial" w:eastAsia="Arial" w:hAnsi="Arial"/>
                <w:b w:val="false"/>
                <w:bCs w:val="false"/>
                <w:i w:val="false"/>
                <w:iCs w:val="false"/>
                <w:color w:val="000000"/>
                <w:sz w:val="18"/>
                <w:szCs w:val="18"/>
              </w:rPr>
              <w:t xml:space="preserve">•  TLS Encryption using TLS 1.2 with Certificates</w:t>
            </w:r>
          </w:p>
          <w:p>
            <w:pPr>
              <w:spacing w:after="0"/>
              <w:ind w:left="160" w:hanging="160"/>
            </w:pPr>
            <w:r>
              <w:rPr>
                <w:rFonts w:ascii="Arial" w:cs="Arial" w:eastAsia="Arial" w:hAnsi="Arial"/>
                <w:b w:val="false"/>
                <w:bCs w:val="false"/>
                <w:i w:val="false"/>
                <w:iCs w:val="false"/>
                <w:color w:val="000000"/>
                <w:sz w:val="18"/>
                <w:szCs w:val="18"/>
              </w:rPr>
              <w:t xml:space="preserve">•  MQ Credentials</w:t>
            </w:r>
          </w:p>
          <w:p>
            <w:pPr>
              <w:spacing w:after="0"/>
              <w:ind w:left="160" w:hanging="160"/>
            </w:pPr>
            <w:r>
              <w:rPr>
                <w:rFonts w:ascii="Arial" w:cs="Arial" w:eastAsia="Arial" w:hAnsi="Arial"/>
                <w:b w:val="false"/>
                <w:bCs w:val="false"/>
                <w:i w:val="false"/>
                <w:iCs w:val="false"/>
                <w:color w:val="000000"/>
                <w:sz w:val="18"/>
                <w:szCs w:val="18"/>
              </w:rPr>
              <w:t xml:space="preserve">•  Authentication of end points via digital certificates stored in certnow</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00000"/>
                <w:sz w:val="18"/>
                <w:szCs w:val="18"/>
              </w:rPr>
              <w:t xml:space="preserve">11a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MQ send and receive messages to/from CEDACRI (IT)</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MQ routes messages directly to/from CEDACRI Italy. No change to MQ routing configuration — Databricks replaces Oracle as the message originator.</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MQ</w:t>
            </w:r>
          </w:p>
        </w:tc>
        <w:tc>
          <w:tcPr>
            <w:tcW w:type="dxa" w:w="4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ind w:left="160" w:hanging="160"/>
            </w:pPr>
            <w:r>
              <w:rPr>
                <w:rFonts w:ascii="Arial" w:cs="Arial" w:eastAsia="Arial" w:hAnsi="Arial"/>
                <w:b w:val="false"/>
                <w:bCs w:val="false"/>
                <w:i w:val="false"/>
                <w:iCs w:val="false"/>
                <w:color w:val="000000"/>
                <w:sz w:val="18"/>
                <w:szCs w:val="18"/>
              </w:rPr>
              <w:t xml:space="preserve">•  Same controls as Flow 11</w:t>
            </w:r>
          </w:p>
          <w:p>
            <w:pPr>
              <w:spacing w:after="0"/>
              <w:ind w:left="160" w:hanging="160"/>
            </w:pPr>
            <w:r>
              <w:rPr>
                <w:rFonts w:ascii="Arial" w:cs="Arial" w:eastAsia="Arial" w:hAnsi="Arial"/>
                <w:b w:val="false"/>
                <w:bCs w:val="false"/>
                <w:i w:val="false"/>
                <w:iCs w:val="false"/>
                <w:color w:val="000000"/>
                <w:sz w:val="18"/>
                <w:szCs w:val="18"/>
              </w:rPr>
              <w:t xml:space="preserve">•  TLS 1.2 encryption</w:t>
            </w:r>
          </w:p>
          <w:p>
            <w:pPr>
              <w:spacing w:after="0"/>
              <w:ind w:left="160" w:hanging="160"/>
            </w:pPr>
            <w:r>
              <w:rPr>
                <w:rFonts w:ascii="Arial" w:cs="Arial" w:eastAsia="Arial" w:hAnsi="Arial"/>
                <w:b w:val="false"/>
                <w:bCs w:val="false"/>
                <w:i w:val="false"/>
                <w:iCs w:val="false"/>
                <w:color w:val="000000"/>
                <w:sz w:val="18"/>
                <w:szCs w:val="18"/>
              </w:rPr>
              <w:t xml:space="preserve">•  MQ Credentials</w:t>
            </w:r>
          </w:p>
          <w:p>
            <w:pPr>
              <w:spacing w:after="0"/>
              <w:ind w:left="160" w:hanging="160"/>
            </w:pPr>
            <w:r>
              <w:rPr>
                <w:rFonts w:ascii="Arial" w:cs="Arial" w:eastAsia="Arial" w:hAnsi="Arial"/>
                <w:b w:val="false"/>
                <w:bCs w:val="false"/>
                <w:i w:val="false"/>
                <w:iCs w:val="false"/>
                <w:color w:val="000000"/>
                <w:sz w:val="18"/>
                <w:szCs w:val="18"/>
              </w:rPr>
              <w:t xml:space="preserve">•  Digital certificates in certnow</w:t>
            </w:r>
          </w:p>
        </w:tc>
      </w:tr>
      <w:tr>
        <w:tc>
          <w:tcPr>
            <w:gridSpan w:val="5"/>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spacing w:after="0"/>
              <w:jc w:val="left"/>
            </w:pPr>
            <w:r>
              <w:rPr>
                <w:rFonts w:ascii="Arial" w:cs="Arial" w:eastAsia="Arial" w:hAnsi="Arial"/>
                <w:b/>
                <w:bCs/>
                <w:i w:val="false"/>
                <w:iCs w:val="false"/>
                <w:color w:val="1F3864"/>
                <w:sz w:val="18"/>
                <w:szCs w:val="18"/>
              </w:rPr>
              <w:t xml:space="preserve">Section 6 — Evolan Risk / Evolan Report &amp; end user report submission to Regulators</w:t>
            </w:r>
          </w:p>
        </w:tc>
      </w:tr>
      <w:tr>
        <w:trPr>
          <w:tblHeader/>
        </w:trPr>
        <w:tc>
          <w:tcPr>
            <w:tcW w:type="dxa" w:w="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No.</w:t>
            </w:r>
          </w:p>
        </w:tc>
        <w:tc>
          <w:tcPr>
            <w:tcW w:type="dxa" w:w="2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Flow</w:t>
            </w:r>
          </w:p>
        </w:tc>
        <w:tc>
          <w:tcPr>
            <w:tcW w:type="dxa" w:w="3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Description / Functionality</w:t>
            </w:r>
          </w:p>
        </w:tc>
        <w:tc>
          <w:tcPr>
            <w:tcW w:type="dxa" w:w="2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Protocol / Technology of connection</w:t>
            </w:r>
          </w:p>
        </w:tc>
        <w:tc>
          <w:tcPr>
            <w:tcW w:type="dxa" w:w="488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Associated security controls</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00000"/>
                <w:sz w:val="18"/>
                <w:szCs w:val="18"/>
              </w:rPr>
              <w:t xml:space="preserve">12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BRIN send file to Evolan Risk and Evolan Report</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BRIN sends files in SFTP to Evolan Risk and Evolan Report services. In target state, the Gold Layer generates the report files and a Databricks workflow triggers the SFTP push.</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SFTP</w:t>
            </w:r>
          </w:p>
        </w:tc>
        <w:tc>
          <w:tcPr>
            <w:tcW w:type="dxa" w:w="4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ind w:left="160" w:hanging="160"/>
            </w:pPr>
            <w:r>
              <w:rPr>
                <w:rFonts w:ascii="Arial" w:cs="Arial" w:eastAsia="Arial" w:hAnsi="Arial"/>
                <w:b w:val="false"/>
                <w:bCs w:val="false"/>
                <w:i w:val="false"/>
                <w:iCs w:val="false"/>
                <w:color w:val="000000"/>
                <w:sz w:val="18"/>
                <w:szCs w:val="18"/>
              </w:rPr>
              <w:t xml:space="preserve">•  Public Key Authentication and authorization</w:t>
            </w:r>
          </w:p>
          <w:p>
            <w:pPr>
              <w:spacing w:after="0"/>
              <w:ind w:left="160" w:hanging="160"/>
            </w:pPr>
            <w:r>
              <w:rPr>
                <w:rFonts w:ascii="Arial" w:cs="Arial" w:eastAsia="Arial" w:hAnsi="Arial"/>
                <w:b w:val="false"/>
                <w:bCs w:val="false"/>
                <w:i w:val="false"/>
                <w:iCs w:val="false"/>
                <w:color w:val="000000"/>
                <w:sz w:val="18"/>
                <w:szCs w:val="18"/>
              </w:rPr>
              <w:t xml:space="preserve">•  SSH key stored on UKM portal</w:t>
            </w:r>
          </w:p>
          <w:p>
            <w:pPr>
              <w:spacing w:after="0"/>
              <w:ind w:left="160" w:hanging="160"/>
            </w:pPr>
            <w:r>
              <w:rPr>
                <w:rFonts w:ascii="Arial" w:cs="Arial" w:eastAsia="Arial" w:hAnsi="Arial"/>
                <w:b w:val="false"/>
                <w:bCs w:val="false"/>
                <w:i w:val="false"/>
                <w:iCs w:val="false"/>
                <w:color w:val="000000"/>
                <w:sz w:val="18"/>
                <w:szCs w:val="18"/>
              </w:rPr>
              <w:t xml:space="preserve">•  UKM security policy (key age lower than 2 years, minimum strong length 2048, RSA)</w:t>
            </w:r>
          </w:p>
          <w:p>
            <w:pPr>
              <w:spacing w:after="0"/>
              <w:ind w:left="160" w:hanging="160"/>
            </w:pPr>
            <w:r>
              <w:rPr>
                <w:rFonts w:ascii="Arial" w:cs="Arial" w:eastAsia="Arial" w:hAnsi="Arial"/>
                <w:b w:val="false"/>
                <w:bCs w:val="false"/>
                <w:i w:val="false"/>
                <w:iCs w:val="false"/>
                <w:color w:val="000000"/>
                <w:sz w:val="18"/>
                <w:szCs w:val="18"/>
              </w:rPr>
              <w:t xml:space="preserve">•  Secure data exchange</w:t>
            </w:r>
          </w:p>
          <w:p>
            <w:pPr>
              <w:spacing w:after="0"/>
              <w:ind w:left="160" w:hanging="160"/>
            </w:pPr>
            <w:r>
              <w:rPr>
                <w:rFonts w:ascii="Arial" w:cs="Arial" w:eastAsia="Arial" w:hAnsi="Arial"/>
                <w:b w:val="false"/>
                <w:bCs w:val="false"/>
                <w:i w:val="false"/>
                <w:iCs w:val="false"/>
                <w:color w:val="000000"/>
                <w:sz w:val="18"/>
                <w:szCs w:val="18"/>
              </w:rPr>
              <w:t xml:space="preserve">•  Logging</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00000"/>
                <w:sz w:val="18"/>
                <w:szCs w:val="18"/>
              </w:rPr>
              <w:t xml:space="preserve">13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End users push/pull final reports to/from Regulators</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End users push/pull final reports and receive feedback to/from Regulators. During the bimodal transition, this flow also connects to the legacy Oracle 12c for non-migrated sources (BIW direct channels). Will be fully served by Databricks Gold Layer once migration is complete.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HTTPS, SFTP, FTPS</w:t>
            </w:r>
          </w:p>
        </w:tc>
        <w:tc>
          <w:tcPr>
            <w:tcW w:type="dxa" w:w="4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ind w:left="160" w:hanging="160"/>
            </w:pPr>
            <w:r>
              <w:rPr>
                <w:rFonts w:ascii="Arial" w:cs="Arial" w:eastAsia="Arial" w:hAnsi="Arial"/>
                <w:b w:val="false"/>
                <w:bCs w:val="false"/>
                <w:i w:val="false"/>
                <w:iCs w:val="false"/>
                <w:color w:val="000000"/>
                <w:sz w:val="18"/>
                <w:szCs w:val="18"/>
              </w:rPr>
              <w:t xml:space="preserve">•  Public Key Authentication and authorization</w:t>
            </w:r>
          </w:p>
          <w:p>
            <w:pPr>
              <w:spacing w:after="0"/>
              <w:ind w:left="160" w:hanging="160"/>
            </w:pPr>
            <w:r>
              <w:rPr>
                <w:rFonts w:ascii="Arial" w:cs="Arial" w:eastAsia="Arial" w:hAnsi="Arial"/>
                <w:b w:val="false"/>
                <w:bCs w:val="false"/>
                <w:i w:val="false"/>
                <w:iCs w:val="false"/>
                <w:color w:val="000000"/>
                <w:sz w:val="18"/>
                <w:szCs w:val="18"/>
              </w:rPr>
              <w:t xml:space="preserve">•  SSH key stored on UKM portal</w:t>
            </w:r>
          </w:p>
          <w:p>
            <w:pPr>
              <w:spacing w:after="0"/>
              <w:ind w:left="160" w:hanging="160"/>
            </w:pPr>
            <w:r>
              <w:rPr>
                <w:rFonts w:ascii="Arial" w:cs="Arial" w:eastAsia="Arial" w:hAnsi="Arial"/>
                <w:b w:val="false"/>
                <w:bCs w:val="false"/>
                <w:i w:val="false"/>
                <w:iCs w:val="false"/>
                <w:color w:val="000000"/>
                <w:sz w:val="18"/>
                <w:szCs w:val="18"/>
              </w:rPr>
              <w:t xml:space="preserve">•  UKM security policy (key age lower than 2 years, minimum strong length 2048, RSA)</w:t>
            </w:r>
          </w:p>
          <w:p>
            <w:pPr>
              <w:spacing w:after="0"/>
              <w:ind w:left="160" w:hanging="160"/>
            </w:pPr>
            <w:r>
              <w:rPr>
                <w:rFonts w:ascii="Arial" w:cs="Arial" w:eastAsia="Arial" w:hAnsi="Arial"/>
                <w:b w:val="false"/>
                <w:bCs w:val="false"/>
                <w:i w:val="false"/>
                <w:iCs w:val="false"/>
                <w:color w:val="000000"/>
                <w:sz w:val="18"/>
                <w:szCs w:val="18"/>
              </w:rPr>
              <w:t xml:space="preserve">•  TLS Encryption using TLS 1.2 with Certificates</w:t>
            </w:r>
          </w:p>
          <w:p>
            <w:pPr>
              <w:spacing w:after="0"/>
              <w:ind w:left="160" w:hanging="160"/>
            </w:pPr>
            <w:r>
              <w:rPr>
                <w:rFonts w:ascii="Arial" w:cs="Arial" w:eastAsia="Arial" w:hAnsi="Arial"/>
                <w:b w:val="false"/>
                <w:bCs w:val="false"/>
                <w:i w:val="false"/>
                <w:iCs w:val="false"/>
                <w:color w:val="000000"/>
                <w:sz w:val="18"/>
                <w:szCs w:val="18"/>
              </w:rPr>
              <w:t xml:space="preserve">•  Certificate Authority: Globalsign</w:t>
            </w:r>
          </w:p>
          <w:p>
            <w:pPr>
              <w:spacing w:after="0"/>
              <w:ind w:left="160" w:hanging="160"/>
            </w:pPr>
            <w:r>
              <w:rPr>
                <w:rFonts w:ascii="Arial" w:cs="Arial" w:eastAsia="Arial" w:hAnsi="Arial"/>
                <w:b w:val="false"/>
                <w:bCs w:val="false"/>
                <w:i w:val="false"/>
                <w:iCs w:val="false"/>
                <w:color w:val="000000"/>
                <w:sz w:val="18"/>
                <w:szCs w:val="18"/>
              </w:rPr>
              <w:t xml:space="preserve">•  Digital certificates in certnow</w:t>
            </w:r>
          </w:p>
          <w:p>
            <w:pPr>
              <w:spacing w:after="0"/>
              <w:ind w:left="160" w:hanging="160"/>
            </w:pPr>
            <w:r>
              <w:rPr>
                <w:rFonts w:ascii="Arial" w:cs="Arial" w:eastAsia="Arial" w:hAnsi="Arial"/>
                <w:b w:val="false"/>
                <w:bCs w:val="false"/>
                <w:i w:val="false"/>
                <w:iCs w:val="false"/>
                <w:color w:val="000000"/>
                <w:sz w:val="18"/>
                <w:szCs w:val="18"/>
              </w:rPr>
              <w:t xml:space="preserve">•  Secure data exchange</w:t>
            </w:r>
          </w:p>
          <w:p>
            <w:pPr>
              <w:spacing w:after="0"/>
              <w:ind w:left="160" w:hanging="160"/>
            </w:pPr>
            <w:r>
              <w:rPr>
                <w:rFonts w:ascii="Arial" w:cs="Arial" w:eastAsia="Arial" w:hAnsi="Arial"/>
                <w:b w:val="false"/>
                <w:bCs w:val="false"/>
                <w:i w:val="false"/>
                <w:iCs w:val="false"/>
                <w:color w:val="000000"/>
                <w:sz w:val="18"/>
                <w:szCs w:val="18"/>
              </w:rPr>
              <w:t xml:space="preserve">•  Logging</w:t>
            </w:r>
          </w:p>
        </w:tc>
      </w:tr>
      <w:tr>
        <w:tc>
          <w:tcPr>
            <w:gridSpan w:val="5"/>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spacing w:after="0"/>
              <w:jc w:val="left"/>
            </w:pPr>
            <w:r>
              <w:rPr>
                <w:rFonts w:ascii="Arial" w:cs="Arial" w:eastAsia="Arial" w:hAnsi="Arial"/>
                <w:b/>
                <w:bCs/>
                <w:i w:val="false"/>
                <w:iCs w:val="false"/>
                <w:color w:val="1F3864"/>
                <w:sz w:val="18"/>
                <w:szCs w:val="18"/>
              </w:rPr>
              <w:t xml:space="preserve">Section 7 — Bimodal Transition: non-migrated sources (temporary — to be decommissioned)</w:t>
            </w:r>
          </w:p>
        </w:tc>
      </w:tr>
      <w:tr>
        <w:trPr>
          <w:tblHeader/>
        </w:trPr>
        <w:tc>
          <w:tcPr>
            <w:tcW w:type="dxa" w:w="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No.</w:t>
            </w:r>
          </w:p>
        </w:tc>
        <w:tc>
          <w:tcPr>
            <w:tcW w:type="dxa" w:w="2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Flow</w:t>
            </w:r>
          </w:p>
        </w:tc>
        <w:tc>
          <w:tcPr>
            <w:tcW w:type="dxa" w:w="3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Description / Functionality</w:t>
            </w:r>
          </w:p>
        </w:tc>
        <w:tc>
          <w:tcPr>
            <w:tcW w:type="dxa" w:w="2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Protocol / Technology of connection</w:t>
            </w:r>
          </w:p>
        </w:tc>
        <w:tc>
          <w:tcPr>
            <w:tcW w:type="dxa" w:w="488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000000"/>
                <w:sz w:val="18"/>
                <w:szCs w:val="18"/>
              </w:rPr>
              <w:t xml:space="preserve">Associated security controls</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00000"/>
                <w:sz w:val="18"/>
                <w:szCs w:val="18"/>
              </w:rPr>
              <w:t xml:space="preserv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Oracle 12c — existing database (bimodal transition)</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Oracle 12c remains active during the transition period for non-migrated source flows, primarily BIW direct channels. It continues to serve BRIN logic for flows not yet migrated to Databricks. To be fully decommissioned once migration is complete.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Internal Oracle DB connection (temporary)</w:t>
            </w:r>
          </w:p>
        </w:tc>
        <w:tc>
          <w:tcPr>
            <w:tcW w:type="dxa" w:w="4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ind w:left="160" w:hanging="160"/>
            </w:pPr>
            <w:r>
              <w:rPr>
                <w:rFonts w:ascii="Arial" w:cs="Arial" w:eastAsia="Arial" w:hAnsi="Arial"/>
                <w:b w:val="false"/>
                <w:bCs w:val="false"/>
                <w:i w:val="false"/>
                <w:iCs w:val="false"/>
                <w:color w:val="000000"/>
                <w:sz w:val="18"/>
                <w:szCs w:val="18"/>
              </w:rPr>
              <w:t xml:space="preserve">•  Not secured based on connection chain — known gap</w:t>
            </w:r>
          </w:p>
          <w:p>
            <w:pPr>
              <w:spacing w:after="0"/>
              <w:ind w:left="160" w:hanging="160"/>
            </w:pPr>
            <w:r>
              <w:rPr>
                <w:rFonts w:ascii="Arial" w:cs="Arial" w:eastAsia="Arial" w:hAnsi="Arial"/>
                <w:b w:val="false"/>
                <w:bCs w:val="false"/>
                <w:i w:val="false"/>
                <w:iCs w:val="false"/>
                <w:color w:val="000000"/>
                <w:sz w:val="18"/>
                <w:szCs w:val="18"/>
              </w:rPr>
              <w:t xml:space="preserve">•  Access restricted to BRIN transition flows only</w:t>
            </w:r>
          </w:p>
          <w:p>
            <w:pPr>
              <w:spacing w:after="0"/>
              <w:ind w:left="160" w:hanging="160"/>
            </w:pPr>
            <w:r>
              <w:rPr>
                <w:rFonts w:ascii="Arial" w:cs="Arial" w:eastAsia="Arial" w:hAnsi="Arial"/>
                <w:b w:val="false"/>
                <w:bCs w:val="false"/>
                <w:i w:val="false"/>
                <w:iCs w:val="false"/>
                <w:color w:val="000000"/>
                <w:sz w:val="18"/>
                <w:szCs w:val="18"/>
              </w:rPr>
              <w:t xml:space="preserve">•  Shadow validation recommended to compare Oracle vs Databricks outputs before cutover</w:t>
            </w:r>
          </w:p>
          <w:p>
            <w:pPr>
              <w:spacing w:after="0"/>
              <w:ind w:left="160" w:hanging="160"/>
            </w:pPr>
            <w:r>
              <w:rPr>
                <w:rFonts w:ascii="Arial" w:cs="Arial" w:eastAsia="Arial" w:hAnsi="Arial"/>
                <w:b w:val="false"/>
                <w:bCs w:val="false"/>
                <w:i w:val="false"/>
                <w:iCs w:val="false"/>
                <w:color w:val="000000"/>
                <w:sz w:val="18"/>
                <w:szCs w:val="18"/>
              </w:rPr>
              <w:t xml:space="preserve">•  Logging on DB</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i w:val="false"/>
                <w:iCs w:val="false"/>
                <w:color w:val="000000"/>
                <w:sz w:val="18"/>
                <w:szCs w:val="18"/>
              </w:rPr>
              <w:t xml:space="preserv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BIW direct channels (non-migrated sources)</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BIW direct channel feeds that have not yet been migrated to EDP/Databricks. These remain connected to Oracle 12c during the bimodal transition period.</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i w:val="false"/>
                <w:iCs w:val="false"/>
                <w:color w:val="000000"/>
                <w:sz w:val="18"/>
                <w:szCs w:val="18"/>
              </w:rPr>
              <w:t xml:space="preserve">ODBC / direct channel (temporary)</w:t>
            </w:r>
          </w:p>
        </w:tc>
        <w:tc>
          <w:tcPr>
            <w:tcW w:type="dxa" w:w="4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ind w:left="160" w:hanging="160"/>
            </w:pPr>
            <w:r>
              <w:rPr>
                <w:rFonts w:ascii="Arial" w:cs="Arial" w:eastAsia="Arial" w:hAnsi="Arial"/>
                <w:b w:val="false"/>
                <w:bCs w:val="false"/>
                <w:i w:val="false"/>
                <w:iCs w:val="false"/>
                <w:color w:val="000000"/>
                <w:sz w:val="18"/>
                <w:szCs w:val="18"/>
              </w:rPr>
              <w:t xml:space="preserve">•  Not secured based on connection string — known gap</w:t>
            </w:r>
          </w:p>
          <w:p>
            <w:pPr>
              <w:spacing w:after="0"/>
              <w:ind w:left="160" w:hanging="160"/>
            </w:pPr>
            <w:r>
              <w:rPr>
                <w:rFonts w:ascii="Arial" w:cs="Arial" w:eastAsia="Arial" w:hAnsi="Arial"/>
                <w:b w:val="false"/>
                <w:bCs w:val="false"/>
                <w:i w:val="false"/>
                <w:iCs w:val="false"/>
                <w:color w:val="000000"/>
                <w:sz w:val="18"/>
                <w:szCs w:val="18"/>
              </w:rPr>
              <w:t xml:space="preserve">•  To be migrated to EDP + Databricks Bronze Layer ingestion (Flow 1 / Flow 2)</w:t>
            </w:r>
          </w:p>
          <w:p>
            <w:pPr>
              <w:spacing w:after="0"/>
              <w:ind w:left="160" w:hanging="160"/>
            </w:pPr>
            <w:r>
              <w:rPr>
                <w:rFonts w:ascii="Arial" w:cs="Arial" w:eastAsia="Arial" w:hAnsi="Arial"/>
                <w:b w:val="false"/>
                <w:bCs w:val="false"/>
                <w:i w:val="false"/>
                <w:iCs w:val="false"/>
                <w:color w:val="000000"/>
                <w:sz w:val="18"/>
                <w:szCs w:val="18"/>
              </w:rPr>
              <w:t xml:space="preserve">•  Decommissioned once full migration is complete</w:t>
            </w:r>
          </w:p>
        </w:tc>
      </w:tr>
    </w:tbl>
    <w:p>
      <w:pPr>
        <w:spacing w:before="200"/>
      </w:pPr>
      <w:r>
        <w:rPr>
          <w:rFonts w:ascii="Arial" w:cs="Arial" w:eastAsia="Arial" w:hAnsi="Arial"/>
          <w:b/>
          <w:bCs/>
          <w:color w:val="666666"/>
          <w:sz w:val="16"/>
          <w:szCs w:val="16"/>
        </w:rPr>
        <w:t xml:space="preserve">Document status: </w:t>
      </w:r>
      <w:r>
        <w:rPr>
          <w:rFonts w:ascii="Arial" w:cs="Arial" w:eastAsia="Arial" w:hAnsi="Arial"/>
          <w:i/>
          <w:iCs/>
          <w:color w:val="666666"/>
          <w:sz w:val="16"/>
          <w:szCs w:val="16"/>
        </w:rPr>
        <w:t xml:space="preserve">DRAFT — for discussion with Databricks team. Security controls sourced from Security Vision Document v1.1. Bimodal transition flows (Section 7) are temporary and will be decommissioned once full migration to Databricks is complete.</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2026-04-07T14:13:31.638Z</dcterms:created>
  <dcterms:modified xsi:type="dcterms:W3CDTF">2026-04-07T14:13:31.639Z</dcterms:modified>
</cp:coreProperties>
</file>

<file path=docProps/custom.xml><?xml version="1.0" encoding="utf-8"?>
<Properties xmlns="http://schemas.openxmlformats.org/officeDocument/2006/custom-properties" xmlns:vt="http://schemas.openxmlformats.org/officeDocument/2006/docPropsVTypes"/>
</file>