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jgbq4fdp5dk" w:id="0"/>
      <w:bookmarkEnd w:id="0"/>
      <w:r w:rsidDel="00000000" w:rsidR="00000000" w:rsidRPr="00000000">
        <w:rPr>
          <w:rtl w:val="0"/>
        </w:rPr>
        <w:t xml:space="preserve">Using bd for Static Reference Data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bd is primarily designed for work tracking, but can also serve as a queryable database for static reference data with some adaptations.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m0mx6gaho57" w:id="1"/>
      <w:bookmarkEnd w:id="1"/>
      <w:r w:rsidDel="00000000" w:rsidR="00000000" w:rsidRPr="00000000">
        <w:rPr>
          <w:rtl w:val="0"/>
        </w:rPr>
        <w:t xml:space="preserve">Work Tracking (Primary Use Case)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Standard bd workflow: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Issues flow through states (open → in_progress → closed)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Priorities and dependencies matter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Status tracking is essential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IDs are sufficient for referencing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mie8j6jm5p7f" w:id="2"/>
      <w:bookmarkEnd w:id="2"/>
      <w:r w:rsidDel="00000000" w:rsidR="00000000" w:rsidRPr="00000000">
        <w:rPr>
          <w:rtl w:val="0"/>
        </w:rPr>
        <w:t xml:space="preserve">Reference Databases / Glossaries (Alternative Use)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When using bd for static data (terminology, glossaries, reference information):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Entities are mostly static (typically always open)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real workflow or state transitions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Names/titles more important than IDs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Minimal or no dependencies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separate database (not mixed with work tracking) to avoid confusion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Consider dual format: maintain markdown version alongside database for name-based lookup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Example: A terminology database could use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terms.db</w:t>
      </w:r>
      <w:r w:rsidDel="00000000" w:rsidR="00000000" w:rsidRPr="00000000">
        <w:rPr>
          <w:rtl w:val="0"/>
        </w:rPr>
        <w:t xml:space="preserve"> (queryable via bd)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GLOSSARY.md</w:t>
      </w:r>
      <w:r w:rsidDel="00000000" w:rsidR="00000000" w:rsidRPr="00000000">
        <w:rPr>
          <w:rtl w:val="0"/>
        </w:rPr>
        <w:t xml:space="preserve"> (browsable by name)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Key difference</w:t>
      </w:r>
      <w:r w:rsidDel="00000000" w:rsidR="00000000" w:rsidRPr="00000000">
        <w:rPr>
          <w:rtl w:val="0"/>
        </w:rPr>
        <w:t xml:space="preserve">: Work items have lifecycle; reference entities are stable knowledge.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3ovqog6587w5" w:id="3"/>
      <w:bookmarkEnd w:id="3"/>
      <w:r w:rsidDel="00000000" w:rsidR="00000000" w:rsidRPr="00000000">
        <w:rPr>
          <w:rtl w:val="0"/>
        </w:rPr>
        <w:t xml:space="preserve">When to Use This Pattern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Good fit: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Technical glossaries or terminology databases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Reference documentation that needs dependency tracking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Knowledge bases with relationships between entries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Structured data that benefits from queryability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Poor fit: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 that changes frequently (use work tracking pattern)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Simple lists (markdown is simpler)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 that needs complex queries (use proper database)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th79fsz5sygy" w:id="4"/>
      <w:bookmarkEnd w:id="4"/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bd show requires IDs, not names: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show term-42</w:t>
      </w:r>
      <w:r w:rsidDel="00000000" w:rsidR="00000000" w:rsidRPr="00000000">
        <w:rPr>
          <w:rtl w:val="0"/>
        </w:rPr>
        <w:t xml:space="preserve"> works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show "API endpoint"</w:t>
      </w:r>
      <w:r w:rsidDel="00000000" w:rsidR="00000000" w:rsidRPr="00000000">
        <w:rPr>
          <w:rtl w:val="0"/>
        </w:rPr>
        <w:t xml:space="preserve"> doesn't work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Workaround: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list | grep -i "api endpoint"</w:t>
      </w:r>
      <w:r w:rsidDel="00000000" w:rsidR="00000000" w:rsidRPr="00000000">
        <w:rPr>
          <w:rtl w:val="0"/>
        </w:rPr>
        <w:t xml:space="preserve"> to find ID first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is why dual format (bd + markdown) is recommended for reference data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No search by 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bd searches by ID, title filters, status, labels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full-text search across descriptions/notes, use grep on the JSONL file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-i "authentication" .beads/issues.jsonl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