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FAA294" w14:textId="77777777" w:rsidR="00DD54DC" w:rsidRDefault="00F52BB3">
      <w:pPr>
        <w:keepNext/>
        <w:spacing w:before="140" w:after="160"/>
      </w:pPr>
      <w:r>
        <w:rPr>
          <w:b/>
          <w:color w:val="14233E"/>
          <w:sz w:val="32"/>
        </w:rPr>
        <w:t>1. OpenAI, Cursor ile model erişimi anlaşmasını sonlandırıyor</w:t>
      </w:r>
    </w:p>
    <w:p w14:paraId="2D3C014D" w14:textId="77777777" w:rsidR="00DD54DC" w:rsidRDefault="00F52BB3">
      <w:pPr>
        <w:spacing w:after="160"/>
        <w:jc w:val="center"/>
      </w:pPr>
      <w:r>
        <w:rPr>
          <w:noProof/>
        </w:rPr>
        <w:drawing>
          <wp:inline distT="0" distB="0" distL="0" distR="0" wp14:anchorId="5F1EE3A7" wp14:editId="3F10703C">
            <wp:extent cx="5580000" cy="2604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card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AB246" w14:textId="77777777" w:rsidR="00DD54DC" w:rsidRDefault="00F52BB3">
      <w:r>
        <w:rPr>
          <w:b/>
          <w:color w:val="144E78"/>
          <w:sz w:val="22"/>
        </w:rPr>
        <w:t>Özet</w:t>
      </w:r>
      <w:r>
        <w:rPr>
          <w:b/>
          <w:color w:val="144E78"/>
          <w:sz w:val="22"/>
        </w:rPr>
        <w:br/>
      </w:r>
      <w:r>
        <w:t xml:space="preserve">OpenAI, Cursor’ın sahibi Anysphere’in SpaceX tarafından satın alınmasının ardından AI kodlama aracıyla olan anlaşmasını 12 Kasım 2026’dan itibaren sona erdireceğini açıkladı. </w:t>
      </w:r>
      <w:r>
        <w:t>Reuters’a göre karar, şirket kontrolünün değişmesine bağlı sözleşme maddesine ve OpenAI’nin Musk şirketleriyle yaşadığı güven sorunlarına dayanıyor; Cursor görüşmeye açık olduğunu belirtti.</w:t>
      </w:r>
    </w:p>
    <w:p w14:paraId="1F661653" w14:textId="77777777" w:rsidR="00DD54DC" w:rsidRDefault="00F52BB3">
      <w:r>
        <w:rPr>
          <w:b/>
          <w:color w:val="144E78"/>
          <w:sz w:val="22"/>
        </w:rPr>
        <w:t>Benim için neden önemli?</w:t>
      </w:r>
      <w:r>
        <w:rPr>
          <w:b/>
          <w:color w:val="144E78"/>
          <w:sz w:val="22"/>
        </w:rPr>
        <w:br/>
      </w:r>
      <w:r>
        <w:t>Bir geliştirme ürününü tek bir model sağl</w:t>
      </w:r>
      <w:r>
        <w:t>ayıcısına bağlamanın ticari ve teknik riskini somut biçimde gösteriyor. Mikro-SaaS ve n8n projelerinizde model soyutlama katmanı, çoklu sağlayıcı desteği ve taşınabilir prompt/araç tanımları kritik hale geliyor.</w:t>
      </w:r>
    </w:p>
    <w:p w14:paraId="2A734166" w14:textId="77777777" w:rsidR="00DD54DC" w:rsidRDefault="00F52BB3">
      <w:pPr>
        <w:spacing w:before="120"/>
      </w:pPr>
      <w:r>
        <w:rPr>
          <w:b/>
        </w:rPr>
        <w:t xml:space="preserve">Kaynak: </w:t>
      </w:r>
      <w:hyperlink r:id="rId9">
        <w:r>
          <w:rPr>
            <w:color w:val="0563C1"/>
            <w:u w:val="single"/>
          </w:rPr>
          <w:t>Reuters, 29 Ağustos 2026</w:t>
        </w:r>
      </w:hyperlink>
    </w:p>
    <w:p w14:paraId="22A0B854" w14:textId="77777777" w:rsidR="00DD54DC" w:rsidRDefault="00F52BB3">
      <w:pPr>
        <w:keepNext/>
        <w:pageBreakBefore/>
        <w:spacing w:before="140" w:after="160"/>
      </w:pPr>
      <w:r>
        <w:rPr>
          <w:b/>
          <w:color w:val="14233E"/>
          <w:sz w:val="32"/>
        </w:rPr>
        <w:lastRenderedPageBreak/>
        <w:t>2. Tencent, kodlama ve araştırma için açık kaynak AI modeli yayımladı</w:t>
      </w:r>
    </w:p>
    <w:p w14:paraId="0ACC32EE" w14:textId="77777777" w:rsidR="00DD54DC" w:rsidRDefault="00F52BB3">
      <w:pPr>
        <w:spacing w:after="160"/>
        <w:jc w:val="center"/>
      </w:pPr>
      <w:r>
        <w:rPr>
          <w:noProof/>
        </w:rPr>
        <w:drawing>
          <wp:inline distT="0" distB="0" distL="0" distR="0" wp14:anchorId="74AE7D38" wp14:editId="6506BBDC">
            <wp:extent cx="5580000" cy="2604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c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A81B7" w14:textId="77777777" w:rsidR="00DD54DC" w:rsidRDefault="00F52BB3">
      <w:r>
        <w:rPr>
          <w:b/>
          <w:color w:val="144E78"/>
          <w:sz w:val="22"/>
        </w:rPr>
        <w:t>Özet</w:t>
      </w:r>
      <w:r>
        <w:rPr>
          <w:b/>
          <w:color w:val="144E78"/>
          <w:sz w:val="22"/>
        </w:rPr>
        <w:br/>
      </w:r>
      <w:r>
        <w:t xml:space="preserve">Tencent, yazılım mühendisliği, akademik araştırma ve finansal analiz </w:t>
      </w:r>
      <w:r>
        <w:t>görevlerine yönelik yeni açık kaynak modelinin ön izleme sürümünü Hugging Face üzerinden yayımladı. Ham performans ve lisans ayrıntıları gerçek kullanım testleriyle doğrulanmalı; ancak yayın, Çin merkezli açık model rekabetinin uygulama katmanına hızla yay</w:t>
      </w:r>
      <w:r>
        <w:t>ıldığını gösteriyor.</w:t>
      </w:r>
    </w:p>
    <w:p w14:paraId="31DF3E98" w14:textId="77777777" w:rsidR="00DD54DC" w:rsidRDefault="00F52BB3">
      <w:r>
        <w:rPr>
          <w:b/>
          <w:color w:val="144E78"/>
          <w:sz w:val="22"/>
        </w:rPr>
        <w:t>Benim için neden önemli?</w:t>
      </w:r>
      <w:r>
        <w:rPr>
          <w:b/>
          <w:color w:val="144E78"/>
          <w:sz w:val="22"/>
        </w:rPr>
        <w:br/>
      </w:r>
      <w:r>
        <w:t>Kendi sunucusunda model çalıştırmak isteyen mikro-SaaS geliştiricileri için maliyet, veri gizliliği ve sağlayıcı bağımlılığı açısından yeni bir seçenek doğuyor. En doğru yaklaşım modeli küçük bir kodlama/ajan d</w:t>
      </w:r>
      <w:r>
        <w:t>eğerlendirme setiyle kapalı API’lere karşı ölçmek olacaktır.</w:t>
      </w:r>
    </w:p>
    <w:p w14:paraId="5C712363" w14:textId="77777777" w:rsidR="00DD54DC" w:rsidRDefault="00F52BB3">
      <w:pPr>
        <w:spacing w:before="120"/>
      </w:pPr>
      <w:r>
        <w:rPr>
          <w:b/>
        </w:rPr>
        <w:t xml:space="preserve">Kaynak: </w:t>
      </w:r>
      <w:hyperlink r:id="rId11">
        <w:r>
          <w:rPr>
            <w:color w:val="0563C1"/>
            <w:u w:val="single"/>
          </w:rPr>
          <w:t>Reuters, 28 Ağustos 2026</w:t>
        </w:r>
      </w:hyperlink>
    </w:p>
    <w:p w14:paraId="7B676274" w14:textId="77777777" w:rsidR="00DD54DC" w:rsidRDefault="00F52BB3">
      <w:pPr>
        <w:keepNext/>
        <w:pageBreakBefore/>
        <w:spacing w:before="140" w:after="160"/>
      </w:pPr>
      <w:r>
        <w:rPr>
          <w:b/>
          <w:color w:val="14233E"/>
          <w:sz w:val="32"/>
        </w:rPr>
        <w:lastRenderedPageBreak/>
        <w:t>3. n8n 2.37.4, al</w:t>
      </w:r>
      <w:r>
        <w:rPr>
          <w:b/>
          <w:color w:val="14233E"/>
          <w:sz w:val="32"/>
        </w:rPr>
        <w:t>an adı kısıtlı kimlik bilgisi hatasını düzeltti</w:t>
      </w:r>
    </w:p>
    <w:p w14:paraId="48390602" w14:textId="77777777" w:rsidR="00DD54DC" w:rsidRDefault="00F52BB3">
      <w:pPr>
        <w:spacing w:after="160"/>
        <w:jc w:val="center"/>
      </w:pPr>
      <w:r>
        <w:rPr>
          <w:noProof/>
        </w:rPr>
        <w:drawing>
          <wp:inline distT="0" distB="0" distL="0" distR="0" wp14:anchorId="4E61E420" wp14:editId="1C798D79">
            <wp:extent cx="5580000" cy="2604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85CF5" w14:textId="77777777" w:rsidR="00DD54DC" w:rsidRDefault="00F52BB3">
      <w:r>
        <w:rPr>
          <w:b/>
          <w:color w:val="144E78"/>
          <w:sz w:val="22"/>
        </w:rPr>
        <w:t>Özet</w:t>
      </w:r>
      <w:r>
        <w:rPr>
          <w:b/>
          <w:color w:val="144E78"/>
          <w:sz w:val="22"/>
        </w:rPr>
        <w:br/>
      </w:r>
      <w:r>
        <w:t>n8n’in 28 Ağustos tarihli 2.37.4 beta sürümü, alan adıyla sınırlandırılmış bir kimlik bilgisinin kendi yetkili düğümünde çalışmamasına yol açan çekirdek hatayı düzeltiyor. Sürüm beta kanalında olduğu i</w:t>
      </w:r>
      <w:r>
        <w:t>çin üretim ortamına doğrudan geçirmek yerine, etkilenen akışlarda kontrollü test yapılması daha güvenli.</w:t>
      </w:r>
    </w:p>
    <w:p w14:paraId="2C0301DD" w14:textId="77777777" w:rsidR="00DD54DC" w:rsidRDefault="00F52BB3">
      <w:r>
        <w:rPr>
          <w:b/>
          <w:color w:val="144E78"/>
          <w:sz w:val="22"/>
        </w:rPr>
        <w:t>Benim için neden önemli?</w:t>
      </w:r>
      <w:r>
        <w:rPr>
          <w:b/>
          <w:color w:val="144E78"/>
          <w:sz w:val="22"/>
        </w:rPr>
        <w:br/>
      </w:r>
      <w:r>
        <w:t>Webhook ve API otomasyonlarında kimlik bilgisini yalnızca belirli alan adlarına açmak, yanlış düğüm veya istek üzerinden sızma</w:t>
      </w:r>
      <w:r>
        <w:t xml:space="preserve"> riskini azaltır. Bu korumayı kullanıyorsanız düzeltme önemli; kullanmıyorsanız credential kapsamlarını daraltmak için iyi bir hatırlatma.</w:t>
      </w:r>
    </w:p>
    <w:p w14:paraId="0A6B537B" w14:textId="77777777" w:rsidR="00DD54DC" w:rsidRDefault="00F52BB3">
      <w:pPr>
        <w:spacing w:before="120"/>
      </w:pPr>
      <w:r>
        <w:rPr>
          <w:b/>
        </w:rPr>
        <w:t xml:space="preserve">Kaynak: </w:t>
      </w:r>
      <w:hyperlink r:id="rId13">
        <w:r>
          <w:rPr>
            <w:color w:val="0563C1"/>
            <w:u w:val="single"/>
          </w:rPr>
          <w:t>n8n GitHub Releases, 28 Ağustos 20</w:t>
        </w:r>
        <w:r>
          <w:rPr>
            <w:color w:val="0563C1"/>
            <w:u w:val="single"/>
          </w:rPr>
          <w:t>26</w:t>
        </w:r>
      </w:hyperlink>
    </w:p>
    <w:p w14:paraId="526E4124" w14:textId="77777777" w:rsidR="00DD54DC" w:rsidRDefault="00F52BB3">
      <w:pPr>
        <w:keepNext/>
        <w:pageBreakBefore/>
        <w:spacing w:before="140" w:after="160"/>
      </w:pPr>
      <w:r>
        <w:rPr>
          <w:b/>
          <w:color w:val="14233E"/>
          <w:sz w:val="32"/>
        </w:rPr>
        <w:lastRenderedPageBreak/>
        <w:t>4. BYD’nin kârını ihracat toparladı, Çin’deki baskı sürüyor</w:t>
      </w:r>
    </w:p>
    <w:p w14:paraId="6AC5E967" w14:textId="77777777" w:rsidR="00DD54DC" w:rsidRDefault="00F52BB3">
      <w:pPr>
        <w:spacing w:after="160"/>
        <w:jc w:val="center"/>
      </w:pPr>
      <w:r>
        <w:rPr>
          <w:noProof/>
        </w:rPr>
        <w:drawing>
          <wp:inline distT="0" distB="0" distL="0" distR="0" wp14:anchorId="7E35195E" wp14:editId="561B371D">
            <wp:extent cx="5580000" cy="2604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card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800C4" w14:textId="77777777" w:rsidR="00DD54DC" w:rsidRDefault="00F52BB3">
      <w:r>
        <w:rPr>
          <w:b/>
          <w:color w:val="144E78"/>
          <w:sz w:val="22"/>
        </w:rPr>
        <w:t>Özet</w:t>
      </w:r>
      <w:r>
        <w:rPr>
          <w:b/>
          <w:color w:val="144E78"/>
          <w:sz w:val="22"/>
        </w:rPr>
        <w:br/>
      </w:r>
      <w:r>
        <w:t>BYD’nin ikinci çeyrek net kârı yıllık %30 artarak 8,2 milyar yuana çıktı ve bir yılı aşkın süren düşüş serisini bitirdi; sonuç yine de analist beklentisinin altında kaldı. İlk yarıda ihr</w:t>
      </w:r>
      <w:r>
        <w:t>acat %71 artarak 790 bin aracı geçti ve toplam satışların %44’üne ulaştı; gelir ise zayıf Çin talebi nedeniyle %3,2 geriledi.</w:t>
      </w:r>
    </w:p>
    <w:p w14:paraId="73622BDA" w14:textId="77777777" w:rsidR="00DD54DC" w:rsidRDefault="00F52BB3">
      <w:r>
        <w:rPr>
          <w:b/>
          <w:color w:val="144E78"/>
          <w:sz w:val="22"/>
        </w:rPr>
        <w:t>Benim için neden önemli?</w:t>
      </w:r>
      <w:r>
        <w:rPr>
          <w:b/>
          <w:color w:val="144E78"/>
          <w:sz w:val="22"/>
        </w:rPr>
        <w:br/>
      </w:r>
      <w:r>
        <w:t>BYD’nin büyüme motorunun giderek ihracata kayması, Türkiye dahil dış pazarlarda model çeşitliliği, servis</w:t>
      </w:r>
      <w:r>
        <w:t xml:space="preserve"> ağı ve fiyatlama rekabetinin artabileceğine işaret ediyor. Buna karşılık tarifeler ve lojistik maliyetleri marjları sınırlayabilir; Sea Lion 7 için satış sonrası hizmet ve yazılım desteğinin ölçeklenmesi izlenmeli.</w:t>
      </w:r>
    </w:p>
    <w:p w14:paraId="1839436F" w14:textId="77777777" w:rsidR="00DD54DC" w:rsidRDefault="00F52BB3">
      <w:pPr>
        <w:spacing w:before="120"/>
      </w:pPr>
      <w:r>
        <w:rPr>
          <w:b/>
        </w:rPr>
        <w:t xml:space="preserve">Kaynak: </w:t>
      </w:r>
      <w:hyperlink r:id="rId15">
        <w:r>
          <w:rPr>
            <w:color w:val="0563C1"/>
            <w:u w:val="single"/>
          </w:rPr>
          <w:t>Reuters, 28 Ağustos 2026</w:t>
        </w:r>
      </w:hyperlink>
    </w:p>
    <w:p w14:paraId="67DCA8E7" w14:textId="77777777" w:rsidR="00DD54DC" w:rsidRDefault="00F52BB3">
      <w:pPr>
        <w:keepNext/>
        <w:pageBreakBefore/>
        <w:spacing w:before="140" w:after="160"/>
      </w:pPr>
      <w:r>
        <w:rPr>
          <w:b/>
          <w:color w:val="14233E"/>
          <w:sz w:val="32"/>
        </w:rPr>
        <w:lastRenderedPageBreak/>
        <w:t>5. Fed’in şahin mesajı eylül faiz artışı olasılığını %60’a taşıdı</w:t>
      </w:r>
    </w:p>
    <w:p w14:paraId="17488CDF" w14:textId="77777777" w:rsidR="00DD54DC" w:rsidRDefault="00F52BB3">
      <w:pPr>
        <w:spacing w:after="160"/>
        <w:jc w:val="center"/>
      </w:pPr>
      <w:r>
        <w:rPr>
          <w:noProof/>
        </w:rPr>
        <w:drawing>
          <wp:inline distT="0" distB="0" distL="0" distR="0" wp14:anchorId="6D1E3910" wp14:editId="3B7FF95F">
            <wp:extent cx="5580000" cy="2604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card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11084" w14:textId="77777777" w:rsidR="00DD54DC" w:rsidRDefault="00F52BB3">
      <w:r>
        <w:rPr>
          <w:b/>
          <w:color w:val="144E78"/>
          <w:sz w:val="22"/>
        </w:rPr>
        <w:t>Özet</w:t>
      </w:r>
      <w:r>
        <w:rPr>
          <w:b/>
          <w:color w:val="144E78"/>
          <w:sz w:val="22"/>
        </w:rPr>
        <w:br/>
      </w:r>
      <w:r>
        <w:t>Fed Başkanı Kevin Warsh, enflasyonun %2 hedefine yeterince hızlı yaklaşmaması</w:t>
      </w:r>
      <w:r>
        <w:t xml:space="preserve"> halinde daha fazla sıkılaştırma gerekebileceğini söyledi. Piyasada eylül faiz artışı olasılığı yaklaşık %35-40 seviyesinden %60’a çıktı; iki yıllık ABD tahvil faizi bir ayın zirvesini gördü, dolar güçlendi ve Nasdaq günü %0,52 düşüşle kapattı.</w:t>
      </w:r>
    </w:p>
    <w:p w14:paraId="21F37910" w14:textId="77777777" w:rsidR="00DD54DC" w:rsidRDefault="00F52BB3">
      <w:r>
        <w:rPr>
          <w:b/>
          <w:color w:val="144E78"/>
          <w:sz w:val="22"/>
        </w:rPr>
        <w:t xml:space="preserve">Benim için </w:t>
      </w:r>
      <w:r>
        <w:rPr>
          <w:b/>
          <w:color w:val="144E78"/>
          <w:sz w:val="22"/>
        </w:rPr>
        <w:t>neden önemli?</w:t>
      </w:r>
      <w:r>
        <w:rPr>
          <w:b/>
          <w:color w:val="144E78"/>
          <w:sz w:val="22"/>
        </w:rPr>
        <w:br/>
      </w:r>
      <w:r>
        <w:t>Yüksek ABD faizi teknoloji hisselerinin değerlemesini zorlayabilir, doları destekleyebilir ve gelişen ülke varlıklarında risk iştahını azaltabilir; bu kanal TL, BIST ve altını da etkiler. Önümüzdeki ABD enflasyon ve istihdam verileri hareketi</w:t>
      </w:r>
      <w:r>
        <w:t>n kalıcı olup olmadığını belirleyecek; bu bir piyasa etkisi değerlendirmesidir, al-sat tavsiyesi değildir.</w:t>
      </w:r>
    </w:p>
    <w:p w14:paraId="14781DE0" w14:textId="77777777" w:rsidR="00DD54DC" w:rsidRDefault="00F52BB3">
      <w:pPr>
        <w:spacing w:before="120"/>
      </w:pPr>
      <w:r>
        <w:rPr>
          <w:b/>
        </w:rPr>
        <w:t xml:space="preserve">Kaynak: </w:t>
      </w:r>
      <w:hyperlink r:id="rId17">
        <w:r>
          <w:rPr>
            <w:color w:val="0563C1"/>
            <w:u w:val="single"/>
          </w:rPr>
          <w:t>Reuters, 28 Ağusto</w:t>
        </w:r>
        <w:r>
          <w:rPr>
            <w:color w:val="0563C1"/>
            <w:u w:val="single"/>
          </w:rPr>
          <w:t>s 2026</w:t>
        </w:r>
      </w:hyperlink>
    </w:p>
    <w:sectPr w:rsidR="00DD54DC" w:rsidSect="00034616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5840"/>
      <w:pgMar w:top="879" w:right="992" w:bottom="765" w:left="992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0AD5FC" w14:textId="77777777" w:rsidR="00000000" w:rsidRDefault="00F52BB3">
      <w:pPr>
        <w:spacing w:after="0" w:line="240" w:lineRule="auto"/>
      </w:pPr>
      <w:r>
        <w:separator/>
      </w:r>
    </w:p>
  </w:endnote>
  <w:endnote w:type="continuationSeparator" w:id="0">
    <w:p w14:paraId="329F27CD" w14:textId="77777777" w:rsidR="00000000" w:rsidRDefault="00F52B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FD99A0" w14:textId="77777777" w:rsidR="00F52BB3" w:rsidRDefault="00F52BB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3CB907" w14:textId="3404FCB5" w:rsidR="00DD54DC" w:rsidRDefault="00F52BB3">
    <w:pPr>
      <w:pStyle w:val="Footer"/>
      <w:jc w:val="center"/>
      <w:rPr>
        <w:color w:val="7D828C"/>
        <w:sz w:val="16"/>
      </w:rPr>
    </w:pPr>
    <w:r>
      <w:rPr>
        <w:color w:val="7D828C"/>
        <w:sz w:val="16"/>
      </w:rPr>
      <w:t>Tarafsız günlük brifing • Yatırım tavsiyesi değildir</w:t>
    </w:r>
  </w:p>
  <w:sdt>
    <w:sdtPr>
      <w:rPr>
        <w:rFonts w:ascii="Arial" w:hAnsi="Arial" w:cs="Arial"/>
        <w:b/>
        <w:color w:val="000000"/>
        <w:u w:val="single"/>
      </w:rPr>
      <w:tag w:val="VeriketFooter"/>
      <w:id w:val="1335880462"/>
      <w:placeholder>
        <w:docPart w:val="DefaultPlaceholder_-1854013440"/>
      </w:placeholder>
    </w:sdtPr>
    <w:sdtContent>
      <w:p w14:paraId="3E5F7F99" w14:textId="62D8876C" w:rsidR="00F52BB3" w:rsidRPr="00F52BB3" w:rsidRDefault="00F52BB3" w:rsidP="00F52BB3">
        <w:pPr>
          <w:pStyle w:val="Footer"/>
          <w:rPr>
            <w:rFonts w:ascii="Arial" w:hAnsi="Arial" w:cs="Arial"/>
            <w:b/>
            <w:color w:val="000000"/>
            <w:u w:val="single"/>
          </w:rPr>
        </w:pPr>
        <w:r w:rsidRPr="00F52BB3">
          <w:rPr>
            <w:rFonts w:ascii="Arial" w:hAnsi="Arial" w:cs="Arial"/>
            <w:b/>
            <w:color w:val="000000"/>
            <w:u w:val="single"/>
          </w:rPr>
          <w:t>TASNİF DIŞI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537AD3" w14:textId="77777777" w:rsidR="00F52BB3" w:rsidRDefault="00F52BB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DDBDD8" w14:textId="77777777" w:rsidR="00000000" w:rsidRDefault="00F52BB3">
      <w:pPr>
        <w:spacing w:after="0" w:line="240" w:lineRule="auto"/>
      </w:pPr>
      <w:r>
        <w:separator/>
      </w:r>
    </w:p>
  </w:footnote>
  <w:footnote w:type="continuationSeparator" w:id="0">
    <w:p w14:paraId="67C7DCC3" w14:textId="77777777" w:rsidR="00000000" w:rsidRDefault="00F52B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519A50" w14:textId="77777777" w:rsidR="00F52BB3" w:rsidRDefault="00F52BB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Arial" w:hAnsi="Arial" w:cs="Arial"/>
        <w:b/>
        <w:color w:val="000000"/>
        <w:u w:val="single"/>
      </w:rPr>
      <w:tag w:val="VeriketHeader"/>
      <w:id w:val="-1782409483"/>
      <w:placeholder>
        <w:docPart w:val="DefaultPlaceholder_-1854013440"/>
      </w:placeholder>
    </w:sdtPr>
    <w:sdtContent>
      <w:p w14:paraId="602A9E2E" w14:textId="287DBDE6" w:rsidR="00F52BB3" w:rsidRPr="00F52BB3" w:rsidRDefault="00F52BB3" w:rsidP="00F52BB3">
        <w:pPr>
          <w:pStyle w:val="Header"/>
          <w:rPr>
            <w:rFonts w:ascii="Arial" w:hAnsi="Arial" w:cs="Arial"/>
            <w:b/>
            <w:color w:val="000000"/>
            <w:u w:val="single"/>
          </w:rPr>
        </w:pPr>
        <w:r w:rsidRPr="00F52BB3">
          <w:rPr>
            <w:rFonts w:ascii="Arial" w:hAnsi="Arial" w:cs="Arial"/>
            <w:b/>
            <w:color w:val="000000"/>
            <w:u w:val="single"/>
          </w:rPr>
          <w:t>TASNİF DIŞI</w: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A62105" w14:textId="77777777" w:rsidR="00F52BB3" w:rsidRDefault="00F52BB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13825"/>
    <w:rsid w:val="00AA1D8D"/>
    <w:rsid w:val="00B47730"/>
    <w:rsid w:val="00CB0664"/>
    <w:rsid w:val="00DD54DC"/>
    <w:rsid w:val="00F52BB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76C15B00"/>
  <w14:defaultImageDpi w14:val="330"/>
  <w15:docId w15:val="{E3FF4C90-C05D-42CD-B7D0-3D001D4E72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F52BB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yperlink" Target="https://github.com/n8n-io/n8n/releases/tag/n8n%402.37.4" TargetMode="External"/><Relationship Id="rId18" Type="http://schemas.openxmlformats.org/officeDocument/2006/relationships/header" Target="header1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3.jpg"/><Relationship Id="rId17" Type="http://schemas.openxmlformats.org/officeDocument/2006/relationships/hyperlink" Target="https://www.reuters.com/business/view-rate-hike-expectations-rise-warsh-speech-jackson-hole-2026-08-28/" TargetMode="External"/><Relationship Id="rId25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image" Target="media/image5.jp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reuters.com/world/asia-pacific/chinas-tencent-releases-new-open-source-ai-model-coding-research-tasks-2026-08-28/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reuters.com/world/asia-pacific/byd-reports-205-drop-first-half-profit-2026-08-28/" TargetMode="External"/><Relationship Id="rId23" Type="http://schemas.openxmlformats.org/officeDocument/2006/relationships/footer" Target="footer3.xml"/><Relationship Id="rId10" Type="http://schemas.openxmlformats.org/officeDocument/2006/relationships/image" Target="media/image2.jp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www.reuters.com/business/media-telecom/openai-end-partnership-with-spacexs-cursor-2026-08-29/" TargetMode="External"/><Relationship Id="rId14" Type="http://schemas.openxmlformats.org/officeDocument/2006/relationships/image" Target="media/image4.jpg"/><Relationship Id="rId22" Type="http://schemas.openxmlformats.org/officeDocument/2006/relationships/header" Target="head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B8A739-3B48-4E42-830D-71103964B6BD}"/>
      </w:docPartPr>
      <w:docPartBody>
        <w:p w:rsidR="00000000" w:rsidRDefault="0002701C">
          <w:r w:rsidRPr="001D2ED2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01C"/>
    <w:rsid w:val="00027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tr-TR" w:eastAsia="tr-T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2701C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495</Words>
  <Characters>3852</Characters>
  <Application>Microsoft Office Word</Application>
  <DocSecurity>0</DocSecurity>
  <Lines>62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Günlük Kişisel Gündem - 29 Ağustos 2026</dc:title>
  <dc:subject>Son 24 saatin kişiselleştirilmiş 5 önemli gelişmesi</dc:subject>
  <dc:creator>ChatGPT</dc:creator>
  <cp:keywords/>
  <dc:description>generated by python-docx</dc:description>
  <cp:lastModifiedBy>Engin KAYA</cp:lastModifiedBy>
  <cp:revision>3</cp:revision>
  <dcterms:created xsi:type="dcterms:W3CDTF">2013-12-23T23:15:00Z</dcterms:created>
  <dcterms:modified xsi:type="dcterms:W3CDTF">2026-08-31T05:48:00Z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iketDocId">
    <vt:lpwstr>d22939d2-8786-43c8-8384-47f506faa7dd</vt:lpwstr>
  </property>
  <property fmtid="{D5CDD505-2E9C-101B-9397-08002B2CF9AE}" pid="3" name="VeriketUD">
    <vt:lpwstr>YVsAVuBa4E3ds2ZzZNWxqtx/m6fZQZEXuSYJnUHhTqE=</vt:lpwstr>
  </property>
  <property fmtid="{D5CDD505-2E9C-101B-9397-08002B2CF9AE}" pid="4" name="VeriketAuthor">
    <vt:lpwstr>WtMaxHQOivj2UL/1xAqgrVuZCl7oxtcKUFpjn/zu4kM=</vt:lpwstr>
  </property>
  <property fmtid="{D5CDD505-2E9C-101B-9397-08002B2CF9AE}" pid="5" name="VeriketClassification">
    <vt:lpwstr>63BA1B7E-64B8-45B1-8D0E-D28DF3C89F40</vt:lpwstr>
  </property>
  <property fmtid="{D5CDD505-2E9C-101B-9397-08002B2CF9AE}" pid="6" name="DetectedPolicyPropertyName">
    <vt:lpwstr/>
  </property>
  <property fmtid="{D5CDD505-2E9C-101B-9397-08002B2CF9AE}" pid="7" name="DetectedKeywordsPropertyName">
    <vt:lpwstr/>
  </property>
  <property fmtid="{D5CDD505-2E9C-101B-9397-08002B2CF9AE}" pid="8" name="Word_AddedHeader_PropertyName">
    <vt:lpwstr>true</vt:lpwstr>
  </property>
  <property fmtid="{D5CDD505-2E9C-101B-9397-08002B2CF9AE}" pid="9" name="Word_AddedFooter_PropertyName">
    <vt:lpwstr>true</vt:lpwstr>
  </property>
</Properties>
</file>