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DEB4D" w14:textId="77777777" w:rsidR="00D67144" w:rsidRDefault="0084124B">
      <w:pPr>
        <w:keepNext/>
        <w:spacing w:before="140" w:after="160"/>
      </w:pPr>
      <w:r>
        <w:rPr>
          <w:b/>
          <w:color w:val="14233E"/>
          <w:sz w:val="32"/>
        </w:rPr>
        <w:t>1. n8n 2.36.9, proxy kullanımını tüm süreçlerde tutarlı hale getirdi</w:t>
      </w:r>
    </w:p>
    <w:p w14:paraId="7FE8CD86" w14:textId="77777777" w:rsidR="00D67144" w:rsidRDefault="0084124B">
      <w:pPr>
        <w:spacing w:after="160"/>
        <w:jc w:val="center"/>
      </w:pPr>
      <w:r>
        <w:rPr>
          <w:noProof/>
        </w:rPr>
        <w:drawing>
          <wp:inline distT="0" distB="0" distL="0" distR="0" wp14:anchorId="7D47199E" wp14:editId="2BAEC7C6">
            <wp:extent cx="5580000" cy="26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rd.jpg"/>
                    <pic:cNvPicPr/>
                  </pic:nvPicPr>
                  <pic:blipFill>
                    <a:blip r:embed="rId8"/>
                    <a:stretch>
                      <a:fillRect/>
                    </a:stretch>
                  </pic:blipFill>
                  <pic:spPr>
                    <a:xfrm>
                      <a:off x="0" y="0"/>
                      <a:ext cx="5580000" cy="2604000"/>
                    </a:xfrm>
                    <a:prstGeom prst="rect">
                      <a:avLst/>
                    </a:prstGeom>
                  </pic:spPr>
                </pic:pic>
              </a:graphicData>
            </a:graphic>
          </wp:inline>
        </w:drawing>
      </w:r>
    </w:p>
    <w:p w14:paraId="212184BE" w14:textId="77777777" w:rsidR="00D67144" w:rsidRDefault="0084124B">
      <w:r>
        <w:rPr>
          <w:b/>
          <w:color w:val="144E78"/>
          <w:sz w:val="22"/>
        </w:rPr>
        <w:t>Özet</w:t>
      </w:r>
      <w:r>
        <w:rPr>
          <w:b/>
          <w:color w:val="144E78"/>
          <w:sz w:val="22"/>
        </w:rPr>
        <w:br/>
      </w:r>
      <w:r>
        <w:t xml:space="preserve">n8n, 31 Ağustos’ta yayımlanan 2.36.9 kararlı sürümünde proxy ortam değişkenlerinin farklı paket ve süreçlerde tutarsız uygulanmasına neden olan çekirdek hatayı düzeltti. Aynı </w:t>
      </w:r>
      <w:r>
        <w:t>gün çıkan 2.37.6 beta sürümü ise dinamik kimlik bilgisi depolamasında execution ID aktarımını düzeltiyor.</w:t>
      </w:r>
    </w:p>
    <w:p w14:paraId="1DEE38A1" w14:textId="77777777" w:rsidR="00D67144" w:rsidRDefault="0084124B">
      <w:r>
        <w:rPr>
          <w:b/>
          <w:color w:val="144E78"/>
          <w:sz w:val="22"/>
        </w:rPr>
        <w:t>Benim için neden önemli?</w:t>
      </w:r>
      <w:r>
        <w:rPr>
          <w:b/>
          <w:color w:val="144E78"/>
          <w:sz w:val="22"/>
        </w:rPr>
        <w:br/>
      </w:r>
      <w:r>
        <w:t>Kurumsal proxy arkasında çalışan webhook, OAuth2 ve API akışlarında süreçler arası farklı davranış bağlantı hatalarına veya b</w:t>
      </w:r>
      <w:r>
        <w:t>eklenmedik doğrudan çıkışlara yol açabilir. Üretim için kararlı 2.36.9’u kontrollü test etmek mantıklı; 2.37.6 beta ise yalnızca ilgili kimlik bilgisi senaryosunda değerlendirilmelidir.</w:t>
      </w:r>
    </w:p>
    <w:p w14:paraId="56FF3687" w14:textId="77777777" w:rsidR="00D67144" w:rsidRDefault="0084124B">
      <w:pPr>
        <w:spacing w:before="120"/>
      </w:pPr>
      <w:r>
        <w:rPr>
          <w:b/>
        </w:rPr>
        <w:t xml:space="preserve">Kaynak: </w:t>
      </w:r>
      <w:hyperlink r:id="rId9">
        <w:r>
          <w:rPr>
            <w:color w:val="0563C1"/>
            <w:u w:val="single"/>
          </w:rPr>
          <w:t>n8n GitHub Releases, 31 Ağustos 2026</w:t>
        </w:r>
      </w:hyperlink>
    </w:p>
    <w:p w14:paraId="17DBC22C" w14:textId="77777777" w:rsidR="00D67144" w:rsidRDefault="0084124B">
      <w:pPr>
        <w:keepNext/>
        <w:pageBreakBefore/>
        <w:spacing w:before="140" w:after="160"/>
      </w:pPr>
      <w:r>
        <w:rPr>
          <w:b/>
          <w:color w:val="14233E"/>
          <w:sz w:val="32"/>
        </w:rPr>
        <w:lastRenderedPageBreak/>
        <w:t>2. Avrupa, AI hesaplama açığını kapatmak için LUMI-AI siparişi verdi</w:t>
      </w:r>
    </w:p>
    <w:p w14:paraId="64B4BF64" w14:textId="77777777" w:rsidR="00D67144" w:rsidRDefault="0084124B">
      <w:pPr>
        <w:spacing w:after="160"/>
        <w:jc w:val="center"/>
      </w:pPr>
      <w:r>
        <w:rPr>
          <w:noProof/>
        </w:rPr>
        <w:drawing>
          <wp:inline distT="0" distB="0" distL="0" distR="0" wp14:anchorId="6B32B6B1" wp14:editId="1397943F">
            <wp:extent cx="5580000" cy="26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rd.jpg"/>
                    <pic:cNvPicPr/>
                  </pic:nvPicPr>
                  <pic:blipFill>
                    <a:blip r:embed="rId10"/>
                    <a:stretch>
                      <a:fillRect/>
                    </a:stretch>
                  </pic:blipFill>
                  <pic:spPr>
                    <a:xfrm>
                      <a:off x="0" y="0"/>
                      <a:ext cx="5580000" cy="2604000"/>
                    </a:xfrm>
                    <a:prstGeom prst="rect">
                      <a:avLst/>
                    </a:prstGeom>
                  </pic:spPr>
                </pic:pic>
              </a:graphicData>
            </a:graphic>
          </wp:inline>
        </w:drawing>
      </w:r>
    </w:p>
    <w:p w14:paraId="051F3C05" w14:textId="77777777" w:rsidR="00D67144" w:rsidRDefault="0084124B">
      <w:r>
        <w:rPr>
          <w:b/>
          <w:color w:val="144E78"/>
          <w:sz w:val="22"/>
        </w:rPr>
        <w:t>Özet</w:t>
      </w:r>
      <w:r>
        <w:rPr>
          <w:b/>
          <w:color w:val="144E78"/>
          <w:sz w:val="22"/>
        </w:rPr>
        <w:br/>
      </w:r>
      <w:r>
        <w:t xml:space="preserve">AB’nin </w:t>
      </w:r>
      <w:commentRangeStart w:id="0"/>
      <w:r>
        <w:t xml:space="preserve">EuroHPC </w:t>
      </w:r>
      <w:commentRangeEnd w:id="0"/>
      <w:r w:rsidR="00B7111C">
        <w:rPr>
          <w:rStyle w:val="CommentReference"/>
        </w:rPr>
        <w:commentReference w:id="0"/>
      </w:r>
      <w:r>
        <w:t>kurumu, Finlandiya’da kurulacak LUMI-AI sistemi için Fransız Bull’a 387,8 milyon avroluk sözleşme verdi. 2027’nin i</w:t>
      </w:r>
      <w:r>
        <w:t>kinci yarısında devreye girmesi planlanan sistem AMD hızlandırıcıları, IBM depolama ve Nokia ağ teknolojisini birleştirecek; mevcut kapasite talebi karşılamadığı için bazı başvurular bugün reddediliyor.</w:t>
      </w:r>
    </w:p>
    <w:p w14:paraId="1A4E3362" w14:textId="77777777" w:rsidR="00D67144" w:rsidRDefault="0084124B">
      <w:r>
        <w:rPr>
          <w:b/>
          <w:color w:val="144E78"/>
          <w:sz w:val="22"/>
        </w:rPr>
        <w:t>Benim için neden önemli?</w:t>
      </w:r>
      <w:r>
        <w:rPr>
          <w:b/>
          <w:color w:val="144E78"/>
          <w:sz w:val="22"/>
        </w:rPr>
        <w:br/>
      </w:r>
      <w:r>
        <w:t>Avrupa’daki startup ve araşt</w:t>
      </w:r>
      <w:r>
        <w:t>ırma ekipleri için daha erişilebilir, bölgesel AI hesaplama kapasitesi; veri egemenliği ve ABD bulutlarına bağımlılık açısından önemli. Türkiye’den Avrupa projelerine çalışan yazılım ekipleri için model eğitimi, HPC entegrasyonu, veri altyapısı ve MLOps al</w:t>
      </w:r>
      <w:r>
        <w:t>anlarında yeni iş fırsatları oluşabilir.</w:t>
      </w:r>
    </w:p>
    <w:p w14:paraId="4515E67B" w14:textId="77777777" w:rsidR="00D67144" w:rsidRDefault="0084124B">
      <w:pPr>
        <w:spacing w:before="120"/>
      </w:pPr>
      <w:r>
        <w:rPr>
          <w:b/>
        </w:rPr>
        <w:t xml:space="preserve">Kaynak: </w:t>
      </w:r>
      <w:hyperlink r:id="rId15">
        <w:r>
          <w:rPr>
            <w:color w:val="0563C1"/>
            <w:u w:val="single"/>
          </w:rPr>
          <w:t>Reuters, 31 Ağustos 2026</w:t>
        </w:r>
      </w:hyperlink>
    </w:p>
    <w:p w14:paraId="7437D924" w14:textId="77777777" w:rsidR="00D67144" w:rsidRDefault="0084124B">
      <w:pPr>
        <w:keepNext/>
        <w:pageBreakBefore/>
        <w:spacing w:before="140" w:after="160"/>
      </w:pPr>
      <w:r>
        <w:rPr>
          <w:b/>
          <w:color w:val="14233E"/>
          <w:sz w:val="32"/>
        </w:rPr>
        <w:lastRenderedPageBreak/>
        <w:t>3. Anthropic’in yeni bulut anlaşmasının de</w:t>
      </w:r>
      <w:r>
        <w:rPr>
          <w:b/>
          <w:color w:val="14233E"/>
          <w:sz w:val="32"/>
        </w:rPr>
        <w:t>ğeri 35 milyar dolar</w:t>
      </w:r>
    </w:p>
    <w:p w14:paraId="1D923FD4" w14:textId="77777777" w:rsidR="00D67144" w:rsidRDefault="0084124B">
      <w:pPr>
        <w:spacing w:after="160"/>
        <w:jc w:val="center"/>
      </w:pPr>
      <w:r>
        <w:rPr>
          <w:noProof/>
        </w:rPr>
        <w:drawing>
          <wp:inline distT="0" distB="0" distL="0" distR="0" wp14:anchorId="391EF6C0" wp14:editId="73ECF0A0">
            <wp:extent cx="5580000" cy="260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rd.jpg"/>
                    <pic:cNvPicPr/>
                  </pic:nvPicPr>
                  <pic:blipFill>
                    <a:blip r:embed="rId16"/>
                    <a:stretch>
                      <a:fillRect/>
                    </a:stretch>
                  </pic:blipFill>
                  <pic:spPr>
                    <a:xfrm>
                      <a:off x="0" y="0"/>
                      <a:ext cx="5580000" cy="2604000"/>
                    </a:xfrm>
                    <a:prstGeom prst="rect">
                      <a:avLst/>
                    </a:prstGeom>
                  </pic:spPr>
                </pic:pic>
              </a:graphicData>
            </a:graphic>
          </wp:inline>
        </w:drawing>
      </w:r>
    </w:p>
    <w:p w14:paraId="0EA76456" w14:textId="77777777" w:rsidR="00D67144" w:rsidRDefault="0084124B">
      <w:r>
        <w:rPr>
          <w:b/>
          <w:color w:val="144E78"/>
          <w:sz w:val="22"/>
        </w:rPr>
        <w:t>Özet</w:t>
      </w:r>
      <w:r>
        <w:rPr>
          <w:b/>
          <w:color w:val="144E78"/>
          <w:sz w:val="22"/>
        </w:rPr>
        <w:br/>
      </w:r>
      <w:r>
        <w:t>Reuters’ın konuya yakın bir kaynağa dayandırdığı habere göre Anthropic, Nvidia destekli Lambda ile Teksas’taki yaklaşık 350 MW kapasiteli veri merkezi için 35 milyar dolarlık bulut anlaşması imzaladı. Anthropic, geçen hafta Batı</w:t>
      </w:r>
      <w:r>
        <w:t xml:space="preserve"> Virginia’daki Nscale kapasitesi için ayrıca 45 milyar dolarlık kiralama taahhüdü açıklamıştı; şirketler yeni anlaşmaya ilişkin yorum yapmadı.</w:t>
      </w:r>
    </w:p>
    <w:p w14:paraId="46C0F32F" w14:textId="77777777" w:rsidR="00D67144" w:rsidRDefault="0084124B">
      <w:r>
        <w:rPr>
          <w:b/>
          <w:color w:val="144E78"/>
          <w:sz w:val="22"/>
        </w:rPr>
        <w:t>Benim için neden önemli?</w:t>
      </w:r>
      <w:r>
        <w:rPr>
          <w:b/>
          <w:color w:val="144E78"/>
          <w:sz w:val="22"/>
        </w:rPr>
        <w:br/>
      </w:r>
      <w:r>
        <w:t>Claude ve Claude Code talebinin arkasındaki altyapı maliyetinin ne kadar yüksek olduğunu</w:t>
      </w:r>
      <w:r>
        <w:t xml:space="preserve"> gösteriyor; API fiyatlarının yalnızca model rekabetiyle hızla düşeceğini varsaymak riskli. Mikro-SaaS ürünlerinde model soyutlama, token bütçesi, önbellekleme ve gerektiğinde daha küçük modellerle çalışma marjı korumak için kritik.</w:t>
      </w:r>
    </w:p>
    <w:p w14:paraId="733E37E6" w14:textId="77777777" w:rsidR="00D67144" w:rsidRDefault="0084124B">
      <w:pPr>
        <w:spacing w:before="120"/>
      </w:pPr>
      <w:r>
        <w:rPr>
          <w:b/>
        </w:rPr>
        <w:t xml:space="preserve">Kaynak: </w:t>
      </w:r>
      <w:hyperlink r:id="rId17">
        <w:r>
          <w:rPr>
            <w:color w:val="0563C1"/>
            <w:u w:val="single"/>
          </w:rPr>
          <w:t>Reuters, 31 Ağustos 2026</w:t>
        </w:r>
      </w:hyperlink>
    </w:p>
    <w:p w14:paraId="34F36CFD" w14:textId="77777777" w:rsidR="00D67144" w:rsidRDefault="0084124B">
      <w:pPr>
        <w:keepNext/>
        <w:pageBreakBefore/>
        <w:spacing w:before="140" w:after="160"/>
      </w:pPr>
      <w:r>
        <w:rPr>
          <w:b/>
          <w:color w:val="14233E"/>
          <w:sz w:val="32"/>
        </w:rPr>
        <w:lastRenderedPageBreak/>
        <w:t>4. Porsche, AI dönüşümü için TCS’ye beş yılda 1,3 milyar avro ayırıyor</w:t>
      </w:r>
    </w:p>
    <w:p w14:paraId="79A8F841" w14:textId="77777777" w:rsidR="00D67144" w:rsidRDefault="0084124B">
      <w:pPr>
        <w:spacing w:after="160"/>
        <w:jc w:val="center"/>
      </w:pPr>
      <w:r>
        <w:rPr>
          <w:noProof/>
        </w:rPr>
        <w:drawing>
          <wp:inline distT="0" distB="0" distL="0" distR="0" wp14:anchorId="63D811E6" wp14:editId="7333946B">
            <wp:extent cx="5580000" cy="260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rd.jpg"/>
                    <pic:cNvPicPr/>
                  </pic:nvPicPr>
                  <pic:blipFill>
                    <a:blip r:embed="rId18"/>
                    <a:stretch>
                      <a:fillRect/>
                    </a:stretch>
                  </pic:blipFill>
                  <pic:spPr>
                    <a:xfrm>
                      <a:off x="0" y="0"/>
                      <a:ext cx="5580000" cy="2604000"/>
                    </a:xfrm>
                    <a:prstGeom prst="rect">
                      <a:avLst/>
                    </a:prstGeom>
                  </pic:spPr>
                </pic:pic>
              </a:graphicData>
            </a:graphic>
          </wp:inline>
        </w:drawing>
      </w:r>
    </w:p>
    <w:p w14:paraId="6248C75A" w14:textId="77777777" w:rsidR="00D67144" w:rsidRDefault="0084124B">
      <w:r>
        <w:rPr>
          <w:b/>
          <w:color w:val="144E78"/>
          <w:sz w:val="22"/>
        </w:rPr>
        <w:t>Özet</w:t>
      </w:r>
      <w:r>
        <w:rPr>
          <w:b/>
          <w:color w:val="144E78"/>
          <w:sz w:val="22"/>
        </w:rPr>
        <w:br/>
      </w:r>
      <w:r>
        <w:t xml:space="preserve">TCS, Porsche’nin yaklaşık </w:t>
      </w:r>
      <w:r>
        <w:t>4.500 çalışanlı otomotiv ve danışmanlık birimi MHP’yi 320 milyon avro işletme değeri üzerinden satın alacak. Buna paralel olarak Porsche, yapay zekâyı operasyonlarına yerleştirmek amacıyla TCS ile beş yıllık 1,3 milyar avroluk stratejik ortaklık kurdu.</w:t>
      </w:r>
    </w:p>
    <w:p w14:paraId="1D14BDB6" w14:textId="77777777" w:rsidR="00D67144" w:rsidRDefault="0084124B">
      <w:r>
        <w:rPr>
          <w:b/>
          <w:color w:val="144E78"/>
          <w:sz w:val="22"/>
        </w:rPr>
        <w:t>Ben</w:t>
      </w:r>
      <w:r>
        <w:rPr>
          <w:b/>
          <w:color w:val="144E78"/>
          <w:sz w:val="22"/>
        </w:rPr>
        <w:t>im için neden önemli?</w:t>
      </w:r>
      <w:r>
        <w:rPr>
          <w:b/>
          <w:color w:val="144E78"/>
          <w:sz w:val="22"/>
        </w:rPr>
        <w:br/>
      </w:r>
      <w:r>
        <w:t>AI harcamalarının genel sohbet araçlarından üretim, araç yazılımı, tedarik zinciri ve kurumsal operasyonlara kaydığını gösteriyor. Sistem entegrasyonu, API, veri platformu, otomasyon ve otomotiv alanlarını birleştiren uzmanlıkların Av</w:t>
      </w:r>
      <w:r>
        <w:t>rupa’daki kariyer ve danışmanlık değeri artabilir.</w:t>
      </w:r>
    </w:p>
    <w:p w14:paraId="3FBEA5D1" w14:textId="77777777" w:rsidR="00D67144" w:rsidRDefault="0084124B">
      <w:pPr>
        <w:spacing w:before="120"/>
      </w:pPr>
      <w:r>
        <w:rPr>
          <w:b/>
        </w:rPr>
        <w:t xml:space="preserve">Kaynak: </w:t>
      </w:r>
      <w:hyperlink r:id="rId19">
        <w:r>
          <w:rPr>
            <w:color w:val="0563C1"/>
            <w:u w:val="single"/>
          </w:rPr>
          <w:t>Reuters Breakingviews, 1 Eylül 2026</w:t>
        </w:r>
      </w:hyperlink>
    </w:p>
    <w:p w14:paraId="0FEC0D55" w14:textId="77777777" w:rsidR="00D67144" w:rsidRDefault="0084124B">
      <w:pPr>
        <w:keepNext/>
        <w:pageBreakBefore/>
        <w:spacing w:before="140" w:after="160"/>
      </w:pPr>
      <w:r>
        <w:rPr>
          <w:b/>
          <w:color w:val="14233E"/>
          <w:sz w:val="32"/>
        </w:rPr>
        <w:lastRenderedPageBreak/>
        <w:t>5. Enerji fiyatları küresel tahvil</w:t>
      </w:r>
      <w:r>
        <w:rPr>
          <w:b/>
          <w:color w:val="14233E"/>
          <w:sz w:val="32"/>
        </w:rPr>
        <w:t xml:space="preserve"> satışını hızlandırdı</w:t>
      </w:r>
    </w:p>
    <w:p w14:paraId="6DC83783" w14:textId="77777777" w:rsidR="00D67144" w:rsidRDefault="0084124B">
      <w:pPr>
        <w:spacing w:after="160"/>
        <w:jc w:val="center"/>
      </w:pPr>
      <w:r>
        <w:rPr>
          <w:noProof/>
        </w:rPr>
        <w:drawing>
          <wp:inline distT="0" distB="0" distL="0" distR="0" wp14:anchorId="1CD1D458" wp14:editId="38CBF708">
            <wp:extent cx="5580000" cy="26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rd.jpg"/>
                    <pic:cNvPicPr/>
                  </pic:nvPicPr>
                  <pic:blipFill>
                    <a:blip r:embed="rId20"/>
                    <a:stretch>
                      <a:fillRect/>
                    </a:stretch>
                  </pic:blipFill>
                  <pic:spPr>
                    <a:xfrm>
                      <a:off x="0" y="0"/>
                      <a:ext cx="5580000" cy="2604000"/>
                    </a:xfrm>
                    <a:prstGeom prst="rect">
                      <a:avLst/>
                    </a:prstGeom>
                  </pic:spPr>
                </pic:pic>
              </a:graphicData>
            </a:graphic>
          </wp:inline>
        </w:drawing>
      </w:r>
    </w:p>
    <w:p w14:paraId="3506A14A" w14:textId="77777777" w:rsidR="00D67144" w:rsidRDefault="0084124B">
      <w:r>
        <w:rPr>
          <w:b/>
          <w:color w:val="144E78"/>
          <w:sz w:val="22"/>
        </w:rPr>
        <w:t>Özet</w:t>
      </w:r>
      <w:r>
        <w:rPr>
          <w:b/>
          <w:color w:val="144E78"/>
          <w:sz w:val="22"/>
        </w:rPr>
        <w:br/>
      </w:r>
      <w:r>
        <w:t>Petrolün 91 doların üzerine çıkması ve enflasyon endişeleri küresel tahvillerde satış getirdi; ABD 10 yıllık faizi %4,78 ile 2025 başından beri en yüksek seviyeyi gördü. Japonya’nın 10 yıllık faizi 1996’dan beri ilk kez %3’e ul</w:t>
      </w:r>
      <w:r>
        <w:t>aşırken ABD, Avrupa ve Japonya’da eylül ayı faiz artışı beklentileri güçlendi.</w:t>
      </w:r>
    </w:p>
    <w:p w14:paraId="5A6661BB" w14:textId="77777777" w:rsidR="00D67144" w:rsidRDefault="0084124B">
      <w:r>
        <w:rPr>
          <w:b/>
          <w:color w:val="144E78"/>
          <w:sz w:val="22"/>
        </w:rPr>
        <w:t>Benim için neden önemli?</w:t>
      </w:r>
      <w:r>
        <w:rPr>
          <w:b/>
          <w:color w:val="144E78"/>
          <w:sz w:val="22"/>
        </w:rPr>
        <w:br/>
      </w:r>
      <w:r>
        <w:t>Yüksek küresel faiz teknoloji hisselerinin değerlemesini, girişim finansmanını ve gelişen ülke risk iştahını zorlayabilir; TL, BIST ve Türkiye’nin dış f</w:t>
      </w:r>
      <w:r>
        <w:t>inansman maliyeti de bu kanaldan etkilenir. Petrolün eş zamanlı yükselmesi Türkiye için enflasyon ve cari açık baskısını artırır; bu değerlendirme al-sat tavsiyesi değildir.</w:t>
      </w:r>
    </w:p>
    <w:p w14:paraId="24C03893" w14:textId="77777777" w:rsidR="00D67144" w:rsidRDefault="0084124B">
      <w:pPr>
        <w:spacing w:before="120"/>
      </w:pPr>
      <w:r>
        <w:rPr>
          <w:b/>
        </w:rPr>
        <w:t xml:space="preserve">Kaynak: </w:t>
      </w:r>
      <w:hyperlink r:id="rId21">
        <w:r>
          <w:rPr>
            <w:color w:val="0563C1"/>
            <w:u w:val="single"/>
          </w:rPr>
          <w:t>Reuters, 1 Eylül 2026</w:t>
        </w:r>
      </w:hyperlink>
    </w:p>
    <w:sectPr w:rsidR="00D67144" w:rsidSect="00034616">
      <w:headerReference w:type="even" r:id="rId22"/>
      <w:headerReference w:type="default" r:id="rId23"/>
      <w:footerReference w:type="even" r:id="rId24"/>
      <w:footerReference w:type="default" r:id="rId25"/>
      <w:headerReference w:type="first" r:id="rId26"/>
      <w:footerReference w:type="first" r:id="rId27"/>
      <w:pgSz w:w="12240" w:h="15840"/>
      <w:pgMar w:top="879" w:right="992" w:bottom="765" w:left="992"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ngin KAYA" w:date="2026-09-01T14:05:00Z" w:initials="EK">
    <w:p w14:paraId="2904D61E" w14:textId="5C8FDB27" w:rsidR="00B7111C" w:rsidRDefault="00B7111C">
      <w:pPr>
        <w:pStyle w:val="CommentText"/>
      </w:pPr>
      <w:r>
        <w:rPr>
          <w:rStyle w:val="CommentReference"/>
        </w:rPr>
        <w:annotationRef/>
      </w:r>
      <w:r>
        <w:t>Europe High Performance Computing.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04D6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415A47" w16cex:dateUtc="2026-09-01T1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04D61E" w16cid:durableId="2E415A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F6281" w14:textId="77777777" w:rsidR="00000000" w:rsidRDefault="0084124B">
      <w:pPr>
        <w:spacing w:after="0" w:line="240" w:lineRule="auto"/>
      </w:pPr>
      <w:r>
        <w:separator/>
      </w:r>
    </w:p>
  </w:endnote>
  <w:endnote w:type="continuationSeparator" w:id="0">
    <w:p w14:paraId="41AC3911" w14:textId="77777777" w:rsidR="00000000" w:rsidRDefault="00841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F315F" w14:textId="77777777" w:rsidR="0084124B" w:rsidRDefault="008412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BFDE" w14:textId="77396DF2" w:rsidR="00D67144" w:rsidRDefault="0084124B">
    <w:pPr>
      <w:pStyle w:val="Footer"/>
      <w:jc w:val="center"/>
      <w:rPr>
        <w:color w:val="7D828C"/>
        <w:sz w:val="16"/>
      </w:rPr>
    </w:pPr>
    <w:r>
      <w:rPr>
        <w:color w:val="7D828C"/>
        <w:sz w:val="16"/>
      </w:rPr>
      <w:t>Tarafsız günlük brifing • Yatırım tavsiyesi değildir</w:t>
    </w:r>
  </w:p>
  <w:sdt>
    <w:sdtPr>
      <w:rPr>
        <w:rFonts w:ascii="Arial" w:hAnsi="Arial" w:cs="Arial"/>
        <w:b/>
        <w:color w:val="000000"/>
        <w:u w:val="single"/>
      </w:rPr>
      <w:tag w:val="VeriketFooter"/>
      <w:id w:val="-795217673"/>
      <w:placeholder>
        <w:docPart w:val="DefaultPlaceholder_-1854013440"/>
      </w:placeholder>
    </w:sdtPr>
    <w:sdtContent>
      <w:p w14:paraId="713BC870" w14:textId="28FF6187" w:rsidR="0084124B" w:rsidRPr="0084124B" w:rsidRDefault="0084124B" w:rsidP="0084124B">
        <w:pPr>
          <w:pStyle w:val="Footer"/>
          <w:rPr>
            <w:rFonts w:ascii="Arial" w:hAnsi="Arial" w:cs="Arial"/>
            <w:b/>
            <w:color w:val="000000"/>
            <w:u w:val="single"/>
          </w:rPr>
        </w:pPr>
        <w:r w:rsidRPr="0084124B">
          <w:rPr>
            <w:rFonts w:ascii="Arial" w:hAnsi="Arial" w:cs="Arial"/>
            <w:b/>
            <w:color w:val="000000"/>
            <w:u w:val="single"/>
          </w:rPr>
          <w:t>TASNİF DIŞI</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4198F" w14:textId="77777777" w:rsidR="0084124B" w:rsidRDefault="008412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078A3" w14:textId="77777777" w:rsidR="00000000" w:rsidRDefault="0084124B">
      <w:pPr>
        <w:spacing w:after="0" w:line="240" w:lineRule="auto"/>
      </w:pPr>
      <w:r>
        <w:separator/>
      </w:r>
    </w:p>
  </w:footnote>
  <w:footnote w:type="continuationSeparator" w:id="0">
    <w:p w14:paraId="42DA1D85" w14:textId="77777777" w:rsidR="00000000" w:rsidRDefault="00841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87098" w14:textId="77777777" w:rsidR="0084124B" w:rsidRDefault="008412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color w:val="000000"/>
        <w:u w:val="single"/>
      </w:rPr>
      <w:tag w:val="VeriketHeader"/>
      <w:id w:val="-661776585"/>
      <w:placeholder>
        <w:docPart w:val="DefaultPlaceholder_-1854013440"/>
      </w:placeholder>
    </w:sdtPr>
    <w:sdtContent>
      <w:p w14:paraId="369729DA" w14:textId="61CE09A2" w:rsidR="0084124B" w:rsidRPr="0084124B" w:rsidRDefault="0084124B" w:rsidP="0084124B">
        <w:pPr>
          <w:pStyle w:val="Header"/>
          <w:rPr>
            <w:rFonts w:ascii="Arial" w:hAnsi="Arial" w:cs="Arial"/>
            <w:b/>
            <w:color w:val="000000"/>
            <w:u w:val="single"/>
          </w:rPr>
        </w:pPr>
        <w:r w:rsidRPr="0084124B">
          <w:rPr>
            <w:rFonts w:ascii="Arial" w:hAnsi="Arial" w:cs="Arial"/>
            <w:b/>
            <w:color w:val="000000"/>
            <w:u w:val="single"/>
          </w:rPr>
          <w:t>TASNİF DIŞI</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B2BF" w14:textId="77777777" w:rsidR="0084124B" w:rsidRDefault="008412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ngin KAYA">
    <w15:presenceInfo w15:providerId="AD" w15:userId="S-1-5-21-1932363208-1582305323-2332156299-356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7D"/>
    <w:rsid w:val="00034616"/>
    <w:rsid w:val="0006063C"/>
    <w:rsid w:val="0015074B"/>
    <w:rsid w:val="0029639D"/>
    <w:rsid w:val="00326F90"/>
    <w:rsid w:val="006C0C65"/>
    <w:rsid w:val="0084124B"/>
    <w:rsid w:val="00AA1D8D"/>
    <w:rsid w:val="00B47730"/>
    <w:rsid w:val="00B7111C"/>
    <w:rsid w:val="00CB0664"/>
    <w:rsid w:val="00D67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78F5B6"/>
  <w14:defaultImageDpi w14:val="330"/>
  <w15:docId w15:val="{F1C9F0AE-0AEF-4CC1-BDF3-DB7AFD4E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7111C"/>
    <w:rPr>
      <w:sz w:val="16"/>
      <w:szCs w:val="16"/>
    </w:rPr>
  </w:style>
  <w:style w:type="paragraph" w:styleId="CommentText">
    <w:name w:val="annotation text"/>
    <w:basedOn w:val="Normal"/>
    <w:link w:val="CommentTextChar"/>
    <w:uiPriority w:val="99"/>
    <w:semiHidden/>
    <w:unhideWhenUsed/>
    <w:rsid w:val="00B7111C"/>
    <w:pPr>
      <w:spacing w:line="240" w:lineRule="auto"/>
    </w:pPr>
    <w:rPr>
      <w:sz w:val="20"/>
      <w:szCs w:val="20"/>
    </w:rPr>
  </w:style>
  <w:style w:type="character" w:customStyle="1" w:styleId="CommentTextChar">
    <w:name w:val="Comment Text Char"/>
    <w:basedOn w:val="DefaultParagraphFont"/>
    <w:link w:val="CommentText"/>
    <w:uiPriority w:val="99"/>
    <w:semiHidden/>
    <w:rsid w:val="00B7111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7111C"/>
    <w:rPr>
      <w:b/>
      <w:bCs/>
    </w:rPr>
  </w:style>
  <w:style w:type="character" w:customStyle="1" w:styleId="CommentSubjectChar">
    <w:name w:val="Comment Subject Char"/>
    <w:basedOn w:val="CommentTextChar"/>
    <w:link w:val="CommentSubject"/>
    <w:uiPriority w:val="99"/>
    <w:semiHidden/>
    <w:rsid w:val="00B7111C"/>
    <w:rPr>
      <w:rFonts w:ascii="Calibri" w:hAnsi="Calibri"/>
      <w:b/>
      <w:bCs/>
      <w:sz w:val="20"/>
      <w:szCs w:val="20"/>
    </w:rPr>
  </w:style>
  <w:style w:type="character" w:styleId="PlaceholderText">
    <w:name w:val="Placeholder Text"/>
    <w:basedOn w:val="DefaultParagraphFont"/>
    <w:uiPriority w:val="99"/>
    <w:semiHidden/>
    <w:rsid w:val="008412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6/09/relationships/commentsIds" Target="commentsIds.xml"/><Relationship Id="rId18" Type="http://schemas.openxmlformats.org/officeDocument/2006/relationships/image" Target="media/image4.jp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reuters.com/world/china/global-markets-global-markets-2026-09-01/"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www.reuters.com/technology/anthropic-signs-35-billion-cloud-deal-with-nvidia-backed-lambda-source-says-2026-08-31/"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5.jp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reuters.com/world/europe/europe-expands-ai-computing-network-with-390-million-order-frances-bull-2026-08-31/"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hyperlink" Target="https://www.reuters.com/commentary/breakingviews/tata-consultancy-spots-promising-model-porsche-2026-09-01/"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8n-io/n8n/releases/tag/n8n%402.36.9" TargetMode="External"/><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40ED19E-37E8-4429-BDE0-F3ADF5ACBC98}"/>
      </w:docPartPr>
      <w:docPartBody>
        <w:p w:rsidR="00000000" w:rsidRDefault="000B02C5">
          <w:r w:rsidRPr="00702CC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C5"/>
    <w:rsid w:val="000B02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02C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498</Words>
  <Characters>3895</Characters>
  <Application>Microsoft Office Word</Application>
  <DocSecurity>0</DocSecurity>
  <Lines>63</Lines>
  <Paragraphs>26</Paragraphs>
  <ScaleCrop>false</ScaleCrop>
  <HeadingPairs>
    <vt:vector size="2" baseType="variant">
      <vt:variant>
        <vt:lpstr>Title</vt:lpstr>
      </vt:variant>
      <vt:variant>
        <vt:i4>1</vt:i4>
      </vt:variant>
    </vt:vector>
  </HeadingPairs>
  <TitlesOfParts>
    <vt:vector size="1" baseType="lpstr">
      <vt:lpstr>Günlük Kişisel Gündem - 1 Eylül 2026</vt:lpstr>
    </vt:vector>
  </TitlesOfParts>
  <Manager/>
  <Company/>
  <LinksUpToDate>false</LinksUpToDate>
  <CharactersWithSpaces>4367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- 1 Eylül 2026</dc:title>
  <dc:subject>Son 24 saatin kişiselleştirilmiş 5 önemli gelişmesi</dc:subject>
  <dc:creator>ChatGPT</dc:creator>
  <cp:keywords/>
  <dc:description>generated by python-docx</dc:description>
  <cp:lastModifiedBy>Engin KAYA</cp:lastModifiedBy>
  <cp:revision>4</cp:revision>
  <dcterms:created xsi:type="dcterms:W3CDTF">2013-12-23T23:15:00Z</dcterms:created>
  <dcterms:modified xsi:type="dcterms:W3CDTF">2026-09-01T11:12:00Z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DocId">
    <vt:lpwstr>5edcd0e8-4481-4a0d-a29c-21b4d395666b</vt:lpwstr>
  </property>
  <property fmtid="{D5CDD505-2E9C-101B-9397-08002B2CF9AE}" pid="3" name="VeriketUD">
    <vt:lpwstr>YVsAVuBa4E3ds2ZzZNWxqtx/m6fZQZEXuSYJnUHhTqE=</vt:lpwstr>
  </property>
  <property fmtid="{D5CDD505-2E9C-101B-9397-08002B2CF9AE}" pid="4" name="VeriketAuthor">
    <vt:lpwstr>WtMaxHQOivj2UL/1xAqgrVuZCl7oxtcKUFpjn/zu4kM=</vt:lpwstr>
  </property>
  <property fmtid="{D5CDD505-2E9C-101B-9397-08002B2CF9AE}" pid="5" name="VeriketClassification">
    <vt:lpwstr>63BA1B7E-64B8-45B1-8D0E-D28DF3C89F40</vt:lpwstr>
  </property>
  <property fmtid="{D5CDD505-2E9C-101B-9397-08002B2CF9AE}" pid="6" name="DetectedPolicyPropertyName">
    <vt:lpwstr/>
  </property>
  <property fmtid="{D5CDD505-2E9C-101B-9397-08002B2CF9AE}" pid="7" name="DetectedKeywordsPropertyName">
    <vt:lpwstr/>
  </property>
  <property fmtid="{D5CDD505-2E9C-101B-9397-08002B2CF9AE}" pid="8" name="Word_AddedHeader_PropertyName">
    <vt:lpwstr>true</vt:lpwstr>
  </property>
  <property fmtid="{D5CDD505-2E9C-101B-9397-08002B2CF9AE}" pid="9" name="Word_AddedFooter_PropertyName">
    <vt:lpwstr>true</vt:lpwstr>
  </property>
</Properties>
</file>