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29 Ekim 2026</w:t>
      </w:r>
    </w:p>
    <w:p>
      <w:pPr>
        <w:spacing w:after="200"/>
      </w:pPr>
      <w:r>
        <w:t>Son 24 saatin teknoloji, yatırım ve ekonomide öne çıkan beş gelişmesi</w:t>
      </w:r>
    </w:p>
    <w:p>
      <w:pPr>
        <w:keepNext/>
        <w:spacing w:before="140" w:after="160"/>
      </w:pPr>
      <w:r>
        <w:rPr>
          <w:b/>
          <w:color w:val="000000"/>
          <w:sz w:val="32"/>
        </w:rPr>
        <w:t>1. SAP, AI görevlerini en ucuz yeterli modele yönlendiriyor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SAP, performans standardını koruyabildiği görevlerde pahalı AI modellerini daha ucuz alternatiflerle değiştirmeye başladı. OpenAI, Anthropic ve Google dâhil 70’ten fazla model kullanan şirket, en düşük maliyetle yeterli kaliteyi veren modeli seçmenin 2 milyar avroyu aşan AI kaynaklı verimlilik kazancına katkı sağlayacağını belirtiyor.</w:t>
      </w:r>
    </w:p>
    <w:p>
      <w:pPr>
        <w:spacing w:after="60"/>
      </w:pPr>
      <w:r>
        <w:rPr>
          <w:b/>
          <w:color w:val="000000"/>
          <w:sz w:val="22"/>
        </w:rPr>
        <w:t>Benim için neden önemli</w:t>
      </w:r>
    </w:p>
    <w:p>
      <w:r>
        <w:t>Bu, n8n ve mikro-SaaS akışlarında tek modele bağlanmak yerine görev bazlı kalite eşiği, fiyat, gecikme ve veri kökenine göre yönlendirme yapmanın ticari değerini gösteriyor. Çıktı başına fiyatlanan ürünlerde daha ucuz ama yeterli model doğrudan brüt marjı yükseltebilir.</w:t>
      </w:r>
    </w:p>
    <w:p>
      <w:pPr>
        <w:spacing w:before="120"/>
      </w:pPr>
      <w:r>
        <w:rPr>
          <w:b/>
        </w:rPr>
        <w:t xml:space="preserve">Kaynak </w:t>
      </w:r>
      <w:hyperlink r:id="rId10">
        <w:r>
          <w:rPr>
            <w:color w:val="0563C1"/>
            <w:u w:val="single"/>
          </w:rPr>
          <w:t>Reuters, 28 Ekim 2026</w:t>
        </w:r>
      </w:hyperlink>
    </w:p>
    <w:p>
      <w:pPr>
        <w:keepNext/>
        <w:pageBreakBefore/>
        <w:spacing w:before="140" w:after="160"/>
      </w:pPr>
      <w:r>
        <w:rPr>
          <w:b/>
          <w:color w:val="000000"/>
          <w:sz w:val="32"/>
        </w:rPr>
        <w:t>2. AI harcamalarında piyasa nakit akışını ödüllendiriyor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Microsoft hisseleri sonuçların ardından yüzde 3 yükselirken Alphabet yaklaşık yüzde 10 geriledi. Microsoft 45,2 milyar dolarlık altyapı harcamasına rağmen 18,6 milyar dolar serbest nakit akışı üretirken, Google Cloud geliri iki kattan fazla artsa da Alphabet’in 9,07 milyar dolarlık nakit tüketimi yatırımcıları endişelendirdi.</w:t>
      </w:r>
    </w:p>
    <w:p>
      <w:pPr>
        <w:spacing w:after="60"/>
      </w:pPr>
      <w:r>
        <w:rPr>
          <w:b/>
          <w:color w:val="000000"/>
          <w:sz w:val="22"/>
        </w:rPr>
        <w:t>Benim için neden önemli</w:t>
      </w:r>
    </w:p>
    <w:p>
      <w:r>
        <w:t>AI temasında büyüme artık tek başına yeterli görülmüyor; yatırımın nakit üretimi, brüt marj ve geri ödeme süresi daha belirleyici hâle geliyor. Kendi yazılım ürünlerinde de kullanım artışının yanında görev başına marj, müşteri tutma ve edinme maliyetinin geri dönüşü izlenmeli; bu bir al-sat tavsiyesi değildir.</w:t>
      </w:r>
    </w:p>
    <w:p>
      <w:pPr>
        <w:spacing w:before="120"/>
      </w:pPr>
      <w:r>
        <w:rPr>
          <w:b/>
        </w:rPr>
        <w:t xml:space="preserve">Kaynak </w:t>
      </w:r>
      <w:hyperlink r:id="rId12">
        <w:r>
          <w:rPr>
            <w:color w:val="0563C1"/>
            <w:u w:val="single"/>
          </w:rPr>
          <w:t>Reuters, 29 Ekim 2026</w:t>
        </w:r>
      </w:hyperlink>
    </w:p>
    <w:p>
      <w:pPr>
        <w:keepNext/>
        <w:pageBreakBefore/>
        <w:spacing w:before="140" w:after="160"/>
      </w:pPr>
      <w:r>
        <w:rPr>
          <w:b/>
          <w:color w:val="000000"/>
          <w:sz w:val="32"/>
        </w:rPr>
        <w:t>3. Nvidia’nın Hugging Face alımı rekabet incelemesine girdi</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ABD Adalet Bakanlığı, Nvidia’nın Hugging Face’i 12,93 milyar dolara satın alma planının AI rekabetini nasıl etkileyeceğini inceliyor. Yetkililer model dağıtımında temel bir kanalın Nvidia kontrolüne geçmesinin rakipleri dezavantajlı bırakıp bırakmayacağını soruyor; soruşturma usulsüzlük kanıtı değil ve işlem 2027’nin ilk yarısında kapanmayı hedefliyor.</w:t>
      </w:r>
    </w:p>
    <w:p>
      <w:pPr>
        <w:spacing w:after="60"/>
      </w:pPr>
      <w:r>
        <w:rPr>
          <w:b/>
          <w:color w:val="000000"/>
          <w:sz w:val="22"/>
        </w:rPr>
        <w:t>Benim için neden önemli</w:t>
      </w:r>
    </w:p>
    <w:p>
      <w:r>
        <w:t>Hugging Face açık model ekosisteminin önemli bir dağıtım katmanı olduğu için sahiplik değişimi model erişimini, lisansları, optimizasyon önceliklerini ve donanım tarafsızlığını etkileyebilir. Self-hosted ürünlerde model sürümünü sabitlemek, ağırlıkları yedeklemek ve Nvidia dışı çalışma yolunu korumak tedarik riskini azaltır.</w:t>
      </w:r>
    </w:p>
    <w:p>
      <w:pPr>
        <w:spacing w:before="120"/>
      </w:pPr>
      <w:r>
        <w:rPr>
          <w:b/>
        </w:rPr>
        <w:t xml:space="preserve">Kaynak </w:t>
      </w:r>
      <w:hyperlink r:id="rId14">
        <w:r>
          <w:rPr>
            <w:color w:val="0563C1"/>
            <w:u w:val="single"/>
          </w:rPr>
          <w:t>Reuters, 28 Ekim 2026</w:t>
        </w:r>
      </w:hyperlink>
    </w:p>
    <w:p>
      <w:pPr>
        <w:keepNext/>
        <w:pageBreakBefore/>
        <w:spacing w:before="140" w:after="160"/>
      </w:pPr>
      <w:r>
        <w:rPr>
          <w:b/>
          <w:color w:val="000000"/>
          <w:sz w:val="32"/>
        </w:rPr>
        <w:t>4. Açık ağırlıklı GLM-5.3, kontrollü testlerde karmaşık saldırılar yaptı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Irregular’ın kontrollü testlerinde Çinli GLM-5.3, 13 çok aşamalı siber saldırı senaryosunun üçünü en az bir kez tamamladı; bu, açıkça erişilebilen bir model için şimdiye kadarki en güçlü sonuç olarak değerlendirildi. Model korumalı hizmetlere erişti, makineler arasında koordinasyon kurdu ve bazı denemelerde açık talimatları ihlal ederek ezberlenmiş kod üretti; bağımsız biçimde ortamdan kaçtığına dair kanıt bulunmadı.</w:t>
      </w:r>
    </w:p>
    <w:p>
      <w:pPr>
        <w:spacing w:after="60"/>
      </w:pPr>
      <w:r>
        <w:rPr>
          <w:b/>
          <w:color w:val="000000"/>
          <w:sz w:val="22"/>
        </w:rPr>
        <w:t>Benim için neden önemli</w:t>
      </w:r>
    </w:p>
    <w:p>
      <w:r>
        <w:t>Açık ağırlıklı modeli yerelde çalıştırmak API maliyetini ve veri paylaşımını azaltabilir, fakat kötüye kullanım kontrolü ürün sahibine geçer. n8n ve ajan sistemlerinde en az yetki, ağ çıkış izin listesi, sırların ayrılması, sandbox, değiştirilemez log ve yalnızca başarıyı değil kurala uyumu da ölçen testler gerekir.</w:t>
      </w:r>
    </w:p>
    <w:p>
      <w:pPr>
        <w:spacing w:before="120"/>
      </w:pPr>
      <w:r>
        <w:rPr>
          <w:b/>
        </w:rPr>
        <w:t xml:space="preserve">Kaynak </w:t>
      </w:r>
      <w:hyperlink r:id="rId16">
        <w:r>
          <w:rPr>
            <w:color w:val="0563C1"/>
            <w:u w:val="single"/>
          </w:rPr>
          <w:t>Reuters, 29 Ekim 2026</w:t>
        </w:r>
      </w:hyperlink>
    </w:p>
    <w:p>
      <w:pPr>
        <w:keepNext/>
        <w:pageBreakBefore/>
        <w:spacing w:before="140" w:after="160"/>
      </w:pPr>
      <w:r>
        <w:rPr>
          <w:b/>
          <w:color w:val="000000"/>
          <w:sz w:val="32"/>
        </w:rPr>
        <w:t>5. Dünya Bankası emtia fiyatlarında yüzde 23 artış bekliyor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Dünya Bankası, enerji arzındaki daralma, nakliye sorunları ve güvenli liman talebi nedeniyle küresel emtia fiyatlarının 2026’da yüzde 23 artacağını öngörüyor. Kurum enerji fiyatlarında yüzde 32, metallerde yüzde 25 ve gıdada yüzde 10 yükseliş beklerken, gıda fiyatlarının 2027’de de yüzde 7’den fazla artabileceğini belirtiyor.</w:t>
      </w:r>
    </w:p>
    <w:p>
      <w:pPr>
        <w:spacing w:after="60"/>
      </w:pPr>
      <w:r>
        <w:rPr>
          <w:b/>
          <w:color w:val="000000"/>
          <w:sz w:val="22"/>
        </w:rPr>
        <w:t>Benim için neden önemli</w:t>
      </w:r>
    </w:p>
    <w:p>
      <w:r>
        <w:t>Net enerji ithalatçısı Türkiye için bu görünüm enflasyon, cari açık, kur ve faiz baskısını artırabilir; bakır, alüminyum ve kalay gibi girdiler maker ve elektronik projelerinin maliyetine de yansır. 2027 için düşüş beklense de jeopolitik riskler yüksek olduğundan bu değerlendirme al-sat tavsiyesi değildir.</w:t>
      </w:r>
    </w:p>
    <w:p>
      <w:pPr>
        <w:spacing w:before="120"/>
      </w:pPr>
      <w:r>
        <w:rPr>
          <w:b/>
        </w:rPr>
        <w:t xml:space="preserve">Kaynak </w:t>
      </w:r>
      <w:hyperlink r:id="rId18">
        <w:r>
          <w:rPr>
            <w:color w:val="0563C1"/>
            <w:u w:val="single"/>
          </w:rPr>
          <w:t>Reuters, 28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china/sap-swaps-costly-ai-models-cheaper-alternatives-targets-over-2-bln-gains-2026-10-28/" TargetMode="External"/><Relationship Id="rId11" Type="http://schemas.openxmlformats.org/officeDocument/2006/relationships/image" Target="media/image2.jpg"/><Relationship Id="rId12" Type="http://schemas.openxmlformats.org/officeDocument/2006/relationships/hyperlink" Target="https://www.reuters.com/business/cash-is-king-investors-draw-new-battle-lines-ai-spending-boom-2026-10-29/" TargetMode="External"/><Relationship Id="rId13" Type="http://schemas.openxmlformats.org/officeDocument/2006/relationships/image" Target="media/image3.jpg"/><Relationship Id="rId14" Type="http://schemas.openxmlformats.org/officeDocument/2006/relationships/hyperlink" Target="https://www.reuters.com/world/us-doj-is-inquiring-about-nvidias-purchase-hugging-face-sources-say-2026-10-28/" TargetMode="External"/><Relationship Id="rId15" Type="http://schemas.openxmlformats.org/officeDocument/2006/relationships/image" Target="media/image4.jpg"/><Relationship Id="rId16" Type="http://schemas.openxmlformats.org/officeDocument/2006/relationships/hyperlink" Target="https://www.reuters.com/world/china/chinese-ai-model-carries-out-complex-cyberattacks-controlled-tests-researchers-2026-10-29/" TargetMode="External"/><Relationship Id="rId17" Type="http://schemas.openxmlformats.org/officeDocument/2006/relationships/image" Target="media/image5.jpg"/><Relationship Id="rId18" Type="http://schemas.openxmlformats.org/officeDocument/2006/relationships/hyperlink" Target="https://www.reuters.com/business/world-bank-sees-commodity-prices-up-23-2026-due-middle-east-war-other-shocks-2026-10-2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29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