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40" w:after="160"/>
      </w:pPr>
      <w:r>
        <w:rPr>
          <w:b/>
          <w:color w:val="14233E"/>
          <w:sz w:val="32"/>
        </w:rPr>
        <w:t>1. Fed faizi artırdı ve yıl içinde bir artış daha öngördü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144E78"/>
          <w:sz w:val="22"/>
        </w:rPr>
        <w:t>Özet</w:t>
      </w:r>
    </w:p>
    <w:p>
      <w:pPr>
        <w:spacing w:after="100"/>
      </w:pPr>
      <w:r>
        <w:t>Fed, 16 Eylül’de politika faizini 25 baz puan artırarak yüzde 3,75–4,00 aralığına çıkardı; yetkililerin tahminleri bu yıl bir artışa daha işaret etti. Kararın ardından dolar yedi haftanın en yüksek düzeyine yükseldi ve ABD tahvil getirileri arttı.</w:t>
      </w:r>
    </w:p>
    <w:p>
      <w:pPr>
        <w:spacing w:after="20"/>
      </w:pPr>
      <w:r>
        <w:rPr>
          <w:b/>
          <w:color w:val="144E78"/>
          <w:sz w:val="22"/>
        </w:rPr>
        <w:t>Benim için neden önemli?</w:t>
      </w:r>
    </w:p>
    <w:p>
      <w:r>
        <w:t>Dünkü beklenti artık gerçekleşmiş politika kararı: güçlü dolar ve yüksek küresel faiz, TL ile Türkiye’nin dış finansman maliyeti üzerinde baskı yaratabilir; BIST ve teknoloji şirketlerinin değerlemesini de etkileyebilir. Bu olası piyasa etkisidir, al-sat tavsiyesi değildir.</w:t>
      </w:r>
    </w:p>
    <w:p>
      <w:pPr>
        <w:spacing w:before="120"/>
      </w:pPr>
      <w:r>
        <w:rPr>
          <w:b/>
        </w:rPr>
        <w:t xml:space="preserve">Kaynak: </w:t>
      </w:r>
      <w:hyperlink r:id="rId10">
        <w:r>
          <w:rPr>
            <w:color w:val="0563C1"/>
            <w:u w:val="single"/>
          </w:rPr>
          <w:t>Reuters, 17 Eylül 2026</w:t>
        </w:r>
      </w:hyperlink>
    </w:p>
    <w:p>
      <w:pPr>
        <w:keepNext/>
        <w:pageBreakBefore/>
        <w:spacing w:before="140" w:after="160"/>
      </w:pPr>
      <w:r>
        <w:rPr>
          <w:b/>
          <w:color w:val="14233E"/>
          <w:sz w:val="32"/>
        </w:rPr>
        <w:t>2. Cohere ile Aleph Alpha kurumsal AI birleşmesini imzaladı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144E78"/>
          <w:sz w:val="22"/>
        </w:rPr>
        <w:t>Özet</w:t>
      </w:r>
    </w:p>
    <w:p>
      <w:pPr>
        <w:spacing w:after="100"/>
      </w:pPr>
      <w:r>
        <w:t>Kanadalı Cohere ve Alman Aleph Alpha, kurumsal yapay zekâ alanındaki birleşme için kesin anlaşmayı 16 Eylül’de imzaladı; işlem düzenleyici onayını bekliyor. Birleşik yapı Toronto ve Berlin merkezli çalışacak, Schwarz Group 500 milyon avro yatırım ve StackIT üzerinden hesaplama kapasitesi sağlayacak.</w:t>
      </w:r>
    </w:p>
    <w:p>
      <w:pPr>
        <w:spacing w:after="20"/>
      </w:pPr>
      <w:r>
        <w:rPr>
          <w:b/>
          <w:color w:val="144E78"/>
          <w:sz w:val="22"/>
        </w:rPr>
        <w:t>Benim için neden önemli?</w:t>
      </w:r>
    </w:p>
    <w:p>
      <w:r>
        <w:t>Avrupa’ya ürün satan mikro-SaaS ekipleri için müşteri altyapısında çalıştırma, yerel veri saklama ve denetlenebilir entegrasyon daha görünür rekabet avantajı olabilir. n8n/API mimarisinde model sağlayıcısını değiştirilebilir tutmak bu pazara erişimi kolaylaştırır; yatırım değerlendirmesi değil, ürün sinyalidir.</w:t>
      </w:r>
    </w:p>
    <w:p>
      <w:pPr>
        <w:spacing w:before="120"/>
      </w:pPr>
      <w:r>
        <w:rPr>
          <w:b/>
        </w:rPr>
        <w:t xml:space="preserve">Kaynak: </w:t>
      </w:r>
      <w:hyperlink r:id="rId12">
        <w:r>
          <w:rPr>
            <w:color w:val="0563C1"/>
            <w:u w:val="single"/>
          </w:rPr>
          <w:t>Reuters, 16 Eylül 2026</w:t>
        </w:r>
      </w:hyperlink>
    </w:p>
    <w:p>
      <w:pPr>
        <w:keepNext/>
        <w:pageBreakBefore/>
        <w:spacing w:before="140" w:after="160"/>
      </w:pPr>
      <w:r>
        <w:rPr>
          <w:b/>
          <w:color w:val="14233E"/>
          <w:sz w:val="32"/>
        </w:rPr>
        <w:t>3. OpenAI, sponsorlu ChatGPT ajanlarını test ediyor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144E78"/>
          <w:sz w:val="22"/>
        </w:rPr>
        <w:t>Özet</w:t>
      </w:r>
    </w:p>
    <w:p>
      <w:pPr>
        <w:spacing w:after="100"/>
      </w:pPr>
      <w:r>
        <w:t>OpenAI, 16 Eylül’de reklamverenler için AI araçlarını genişlettiğini ve kullanıcıların işletmelerce desteklenen sohbet ajanlarıyla konuşabileceği bir deneme başlattığını açıkladı. Sponsorlu ajanlar seçili reklamverenlerle test ediliyor; geniş çaplı kullanıma ve performansına ilişkin sonuçlar henüz belli değil.</w:t>
      </w:r>
    </w:p>
    <w:p>
      <w:pPr>
        <w:spacing w:after="20"/>
      </w:pPr>
      <w:r>
        <w:rPr>
          <w:b/>
          <w:color w:val="144E78"/>
          <w:sz w:val="22"/>
        </w:rPr>
        <w:t>Benim için neden önemli?</w:t>
      </w:r>
    </w:p>
    <w:p>
      <w:r>
        <w:t>Sponsorlu kısa video işinden müşteri adayını sohbet ve satın alma akışına taşıyan yeni bir kanal doğabilir. n8n tabanlı takip, ölçüm ve insan onaylı yanıtlar mikro-SaaS fırsatı sunar; sponsorlu içeriği açıkça işaretlemek ve müşteri verisini izinli işlemek kritik.</w:t>
      </w:r>
    </w:p>
    <w:p>
      <w:pPr>
        <w:spacing w:before="120"/>
      </w:pPr>
      <w:r>
        <w:rPr>
          <w:b/>
        </w:rPr>
        <w:t xml:space="preserve">Kaynak: </w:t>
      </w:r>
      <w:hyperlink r:id="rId14">
        <w:r>
          <w:rPr>
            <w:color w:val="0563C1"/>
            <w:u w:val="single"/>
          </w:rPr>
          <w:t>Reuters, 16 Eylül 2026</w:t>
        </w:r>
      </w:hyperlink>
    </w:p>
    <w:p>
      <w:pPr>
        <w:keepNext/>
        <w:pageBreakBefore/>
        <w:spacing w:before="140" w:after="160"/>
      </w:pPr>
      <w:r>
        <w:rPr>
          <w:b/>
          <w:color w:val="14233E"/>
          <w:sz w:val="32"/>
        </w:rPr>
        <w:t>4. Irak, güney petrolünü Ceyhan hattına kamyonla taşıyor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144E78"/>
          <w:sz w:val="22"/>
        </w:rPr>
        <w:t>Özet</w:t>
      </w:r>
    </w:p>
    <w:p>
      <w:pPr>
        <w:spacing w:after="100"/>
      </w:pPr>
      <w:r>
        <w:t>Irak, güney petrolünü Kerkük deposuna kamyonla taşıyarak Türkiye’nin Ceyhan limanından ihracatı artırmayı hedefleyen pilot uygulama başlattı. 13–14 Eylül’de 209 tankerle yaklaşık 38 bin varil taşındı; kamyon ve yükleme kapasitesi sınırlı olduğu için mevcut ölçekte ihracata etkisi küçük.</w:t>
      </w:r>
    </w:p>
    <w:p>
      <w:pPr>
        <w:spacing w:after="20"/>
      </w:pPr>
      <w:r>
        <w:rPr>
          <w:b/>
          <w:color w:val="144E78"/>
          <w:sz w:val="22"/>
        </w:rPr>
        <w:t>Benim için neden önemli?</w:t>
      </w:r>
    </w:p>
    <w:p>
      <w:r>
        <w:t>Hürmüz’deki aksaklıklar Ceyhan’ı alternatif rota olarak öne çıkarabilir; bu Türkiye’nin enerji lojistiği ve liman hizmetleri açısından somut gelişme. Ancak pilot hacim ölçeklenmeden arz açığını kapatmaz; petrol ve taşımacılık maliyetine ilişkin bu değerlendirme al-sat tavsiyesi değildir.</w:t>
      </w:r>
    </w:p>
    <w:p>
      <w:pPr>
        <w:spacing w:before="120"/>
      </w:pPr>
      <w:r>
        <w:rPr>
          <w:b/>
        </w:rPr>
        <w:t xml:space="preserve">Kaynak: </w:t>
      </w:r>
      <w:hyperlink r:id="rId16">
        <w:r>
          <w:rPr>
            <w:color w:val="0563C1"/>
            <w:u w:val="single"/>
          </w:rPr>
          <w:t>Reuters, 16 Eylül 2026</w:t>
        </w:r>
      </w:hyperlink>
    </w:p>
    <w:p>
      <w:pPr>
        <w:keepNext/>
        <w:pageBreakBefore/>
        <w:spacing w:before="140" w:after="160"/>
      </w:pPr>
      <w:r>
        <w:rPr>
          <w:b/>
          <w:color w:val="14233E"/>
          <w:sz w:val="32"/>
        </w:rPr>
        <w:t>5. Snap, Specs gözlüğünü fabrikalara ve saha ekiplerine açıyor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144E78"/>
          <w:sz w:val="22"/>
        </w:rPr>
        <w:t>Özet</w:t>
      </w:r>
    </w:p>
    <w:p>
      <w:pPr>
        <w:spacing w:after="100"/>
      </w:pPr>
      <w:r>
        <w:t>Snap, 16 Eylül’de Specs artırılmış gerçeklik gözlüğü için Salesforce, Nvidia ve AWS ile kurumsal araç entegrasyonlarını duyurdu. 2.195 dolarlık cihazın sonbaharda ABD, Birleşik Krallık ve Fransa’da sevkiyatı planlanıyor; hedef fabrika, perakende ve saha servisinde eller serbest kullanım.</w:t>
      </w:r>
    </w:p>
    <w:p>
      <w:pPr>
        <w:spacing w:after="20"/>
      </w:pPr>
      <w:r>
        <w:rPr>
          <w:b/>
          <w:color w:val="144E78"/>
          <w:sz w:val="22"/>
        </w:rPr>
        <w:t>Benim için neden önemli?</w:t>
      </w:r>
    </w:p>
    <w:p>
      <w:r>
        <w:t>Elektronik ve maker projelerinde bakım talimatı, parça tanıma, uzaktan destek ve envanter verisini fiziksel iş akışına bağlamak için somut bir platform oluşabilir. API/n8n entegrasyonları ile niş saha yazılımı geliştirilebilir; gerçek kullanım maliyeti ve ergonomisi sahada doğrulanmalı.</w:t>
      </w:r>
    </w:p>
    <w:p>
      <w:pPr>
        <w:spacing w:before="120"/>
      </w:pPr>
      <w:r>
        <w:rPr>
          <w:b/>
        </w:rPr>
        <w:t xml:space="preserve">Kaynak: </w:t>
      </w:r>
      <w:hyperlink r:id="rId18">
        <w:r>
          <w:rPr>
            <w:color w:val="0563C1"/>
            <w:u w:val="single"/>
          </w:rPr>
          <w:t>Reuters, 16 Eylül 2026</w:t>
        </w:r>
      </w:hyperlink>
    </w:p>
    <w:sectPr w:rsidR="00FC693F" w:rsidRPr="0006063C" w:rsidSect="00034616">
      <w:footerReference w:type="default" r:id="rId19"/>
      <w:pgSz w:w="12240" w:h="15840"/>
      <w:pgMar w:top="879" w:right="992" w:bottom="765" w:left="9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28C"/>
        <w:sz w:val="16"/>
      </w:rPr>
      <w:t>Tarafsız günlük brifing • Yatırım tavsiyesi değildir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reuters.com/world/asia-pacific/hawkish-fed-lifts-dollar-seven-week-high-focus-turn-boj-2026-09-17/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www.reuters.com/legal/transactional/cohere-aleph-alpha-combine-target-enterprise-ai-market-2026-09-16/" TargetMode="External"/><Relationship Id="rId13" Type="http://schemas.openxmlformats.org/officeDocument/2006/relationships/image" Target="media/image3.jpg"/><Relationship Id="rId14" Type="http://schemas.openxmlformats.org/officeDocument/2006/relationships/hyperlink" Target="https://www.reuters.com/business/media-telecom/openai-tests-advertiser-sponsored-agents-expands-ai-tools-chatgpt-ads-2026-09-16/" TargetMode="External"/><Relationship Id="rId15" Type="http://schemas.openxmlformats.org/officeDocument/2006/relationships/image" Target="media/image4.jpg"/><Relationship Id="rId16" Type="http://schemas.openxmlformats.org/officeDocument/2006/relationships/hyperlink" Target="https://www.reuters.com/business/energy/iraq-trucks-southern-crude-north-bid-raise-exports-via-turkey-2026-09-16/" TargetMode="External"/><Relationship Id="rId17" Type="http://schemas.openxmlformats.org/officeDocument/2006/relationships/image" Target="media/image5.jpg"/><Relationship Id="rId18" Type="http://schemas.openxmlformats.org/officeDocument/2006/relationships/hyperlink" Target="https://www.reuters.com/business/snap-targets-enterprises-with-salesforce-nvidia-ai-tools-augmented-reality-2026-09-16/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Günlük Kişisel Gündem - 17 Eylül 2026</dc:title>
  <dc:subject>Son 24 saatin kişiselleştirilmiş 5 önemli gelişmesi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