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1f497d"/>
          <w:sz w:val="32"/>
          <w:szCs w:val="32"/>
        </w:rPr>
      </w:pPr>
      <w:r w:rsidDel="00000000" w:rsidR="00000000" w:rsidRPr="00000000">
        <w:rPr>
          <w:b w:val="1"/>
          <w:bCs w:val="1"/>
          <w:color w:val="1f497d"/>
          <w:sz w:val="32"/>
          <w:szCs w:val="32"/>
          <w:rtl w:val="0"/>
        </w:rPr>
        <w:t xml:space="preserve">Lógica em jogo - jogo voxel 3D para estimular o raciocinio lógico</w:t>
        <w:br w:type="textWrapping"/>
        <w:t xml:space="preserve">(EEB Prof Otilia da silva berti- Araranguá- CRE XXXXXXXXXXXX)</w:t>
      </w:r>
    </w:p>
    <w:p w:rsidR="00000000" w:rsidDel="00000000" w:rsidP="00000000" w:rsidRDefault="00000000" w:rsidRPr="00000000" w14:paraId="00000002">
      <w:pPr>
        <w:tabs>
          <w:tab w:val="left" w:leader="none" w:pos="820"/>
        </w:tabs>
        <w:spacing w:after="0" w:line="240" w:lineRule="auto"/>
        <w:ind w:left="-283" w:right="261"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820"/>
        </w:tabs>
        <w:spacing w:after="0" w:line="240" w:lineRule="auto"/>
        <w:ind w:left="-283" w:right="261" w:firstLine="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Autor: Leonardo de Jesus silvano ( prof tecnologia )</w:t>
      </w:r>
      <w:r w:rsidDel="00000000" w:rsidR="00000000" w:rsidRPr="00000000">
        <w:rPr>
          <w:rtl w:val="0"/>
        </w:rPr>
      </w:r>
    </w:p>
    <w:p w:rsidR="00000000" w:rsidDel="00000000" w:rsidP="00000000" w:rsidRDefault="00000000" w:rsidRPr="00000000" w14:paraId="00000004">
      <w:pPr>
        <w:spacing w:after="0" w:line="360" w:lineRule="auto"/>
        <w:ind w:left="-283"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COMPONENTES CURRICULARES: </w:t>
      </w:r>
      <w:r w:rsidDel="00000000" w:rsidR="00000000" w:rsidRPr="00000000">
        <w:rPr>
          <w:rFonts w:ascii="Times New Roman" w:cs="Times New Roman" w:eastAsia="Times New Roman" w:hAnsi="Times New Roman"/>
          <w:sz w:val="24"/>
          <w:szCs w:val="24"/>
          <w:rtl w:val="0"/>
        </w:rPr>
        <w:t xml:space="preserve">Educação Digital, Pensamento computacional</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INTERDISCIPLINARIDADE: </w:t>
      </w:r>
      <w:r w:rsidDel="00000000" w:rsidR="00000000" w:rsidRPr="00000000">
        <w:rPr>
          <w:rFonts w:ascii="Times New Roman" w:cs="Times New Roman" w:eastAsia="Times New Roman" w:hAnsi="Times New Roman"/>
          <w:sz w:val="24"/>
          <w:szCs w:val="24"/>
          <w:rtl w:val="0"/>
        </w:rPr>
        <w:t>Todas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08">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ANO/SÉRIE: 2</w:t>
      </w:r>
      <w:r w:rsidDel="00000000" w:rsidR="00000000" w:rsidRPr="00000000">
        <w:rPr>
          <w:rFonts w:ascii="Times New Roman" w:cs="Times New Roman" w:eastAsia="Times New Roman" w:hAnsi="Times New Roman"/>
          <w:sz w:val="24"/>
          <w:szCs w:val="24"/>
          <w:rtl w:val="0"/>
        </w:rPr>
        <w:t xml:space="preserve">ª-</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ª Série</w:t>
      </w:r>
    </w:p>
    <w:p w:rsidR="00000000" w:rsidDel="00000000" w:rsidP="00000000" w:rsidRDefault="00000000" w:rsidRPr="00000000" w14:paraId="0000000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AULAS NECESSÁRIAS PARA A ATIVIDADE: </w:t>
      </w:r>
      <w:r w:rsidDel="00000000" w:rsidR="00000000" w:rsidRPr="00000000">
        <w:rPr>
          <w:rFonts w:ascii="Times New Roman" w:cs="Times New Roman" w:eastAsia="Times New Roman" w:hAnsi="Times New Roman"/>
          <w:sz w:val="24"/>
          <w:szCs w:val="24"/>
          <w:rtl w:val="0"/>
        </w:rPr>
        <w:t xml:space="preserve">indefinida</w:t>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BREVE DESCRIÇÃO: </w:t>
      </w:r>
      <w:r w:rsidDel="00000000" w:rsidR="00000000" w:rsidRPr="00000000">
        <w:rPr>
          <w:rFonts w:ascii="Times New Roman" w:cs="Times New Roman" w:eastAsia="Times New Roman" w:hAnsi="Times New Roman"/>
          <w:sz w:val="24"/>
          <w:szCs w:val="24"/>
          <w:rtl w:val="0"/>
        </w:rPr>
        <w:t xml:space="preserve">Desenvolvimento do pensamento computacional e racicionio lógico de forma gameficada.</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MATERIAIS NECESSÁRIOS: </w:t>
      </w:r>
      <w:r w:rsidDel="00000000" w:rsidR="00000000" w:rsidRPr="00000000">
        <w:rPr>
          <w:rFonts w:ascii="Times New Roman" w:cs="Times New Roman" w:eastAsia="Times New Roman" w:hAnsi="Times New Roman"/>
          <w:sz w:val="24"/>
          <w:szCs w:val="24"/>
          <w:rtl w:val="0"/>
        </w:rPr>
        <w:t>Notebooks\computadores e tablets.</w:t>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HABILIDADES DO CURRÍCULO DE EDUCAÇÃO DIGITAL: </w:t>
      </w:r>
      <w:r w:rsidDel="00000000" w:rsidR="00000000" w:rsidRPr="00000000">
        <w:rPr>
          <w:rFonts w:ascii="Times New Roman" w:cs="Times New Roman" w:eastAsia="Times New Roman" w:hAnsi="Times New Roman"/>
          <w:sz w:val="24"/>
          <w:szCs w:val="24"/>
          <w:rtl w:val="0"/>
        </w:rPr>
        <w:t>Eixo Pensamento Computacional (BNCC Computação, anexo nacional Res. CNE/CEB nº 1/2022, adotado como Currículo de Educação Digital de SC). Anos iniciais (2º e 3º; 4º e 5º ano): EF02CO01 (criar e comparar modelos, identificando padrões e atributos essenciais), EF15CO02 (construir e simular algoritmos com sequências, seleções condicionais e repetições), EF15CO03 (operações de negação, conjunção e disjunção sobre sentenças lógicas), EF15CO04 (aplicar a estratégia de decomposição para resolver problemas complexos). Anos finais (6º e 7º; 8º e 9º ano): EF69CO06 (comparar diferentes instâncias de um mesmo problema e generalizar uma solução), EF07CO02 (analisar programas para detectar e remover erros), EF69CO04 (construir soluções de problemas usando decomposição), EF69CO03 (descrever com precisão a solução de um problema). Modo sobrevivência (mundo procedural; aplicado com as turmas de 4º/5º, 6º/7º e 8º/9º ano a partir da sua implementação no jogo, tornando-se o modo exclusivo dessas turmas): EF05CO01 (reconhecer objetos representáveis por listas, com manipulação simples — mochila/inventário), EF69CO01 (classificar informações em coleções por tipo de dados — ferramentas por tipo/família/nível, minérios por tipo), EF69CO05 (identificar recursos ou insumos necessários — entradas — e os resultados esperados — saídas — de um problema: fabricação por receita e fundição na fornalha).</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DO CURRÍCULO BASE: </w:t>
      </w:r>
      <w:r w:rsidDel="00000000" w:rsidR="00000000" w:rsidRPr="00000000">
        <w:rPr>
          <w:rFonts w:ascii="Times New Roman" w:cs="Times New Roman" w:eastAsia="Times New Roman" w:hAnsi="Times New Roman"/>
          <w:sz w:val="24"/>
          <w:szCs w:val="24"/>
          <w:rtl w:val="0"/>
        </w:rPr>
        <w:t>Matemática — Currículo Base do Território Catarinense (CBTC, 2019; habilidades sem código nesta edição, citadas por ano). 2º ano: "Descrever um padrão (ou regularidade) de sequências repetitivas e de sequências recursivas, por meio de palavras, símbolos ou desenhos" (Aula 1). 3º ano: "Identificar regularidades em sequências ordenadas de números naturais [...] e descrever uma regra de formação da sequência" (Aula 1). 4º ano: "Reconhecer simetria de reflexão em figuras [...] e utilizá-la na construção de figuras congruentes" (Aula 5). 6º ano: "Construir algoritmo para resolver situações passo a passo (como na construção de dobraduras ou na indicação de deslocamento de um objeto no plano segundo pontos de referência e distâncias fornecidas)" (Aula 6). 7º ano: "Reconhecer e construir figuras obtidas por simetrias de translação, rotação e reflexão" (Aula 5). 8º ano: "Identificar a regularidade de uma sequência numérica recursiva e construir um algoritmo por meio de um fluxograma que permita indicar os números seguintes" (Aulas 1 e 6). Modo sobrevivência (aplicado com as turmas de 4º/5º, 6º/7º e 8º/9º ano a partir da sua implementação no jogo). Matemática, 5º ano: "Resolver problemas que envolvam variação de proporcionalidade direta entre duas grandezas [...] alterar as quantidades de ingredientes de receitas [...]" (fabricação de itens por receita). Geografia, 2º ano: "Descrever as atividades extrativas (minerais, agropecuárias e industriais) de diferentes lugares, identificando os impactos ambientais" (mineração no mundo procedural).</w:t>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OBJETOS DE CONHECIMENTO EM ESTUDO: </w:t>
      </w:r>
      <w:r w:rsidDel="00000000" w:rsidR="00000000" w:rsidRPr="00000000">
        <w:rPr>
          <w:rFonts w:ascii="Times New Roman" w:cs="Times New Roman" w:eastAsia="Times New Roman" w:hAnsi="Times New Roman"/>
          <w:sz w:val="24"/>
          <w:szCs w:val="24"/>
          <w:rtl w:val="0"/>
        </w:rPr>
        <w:t>Reconhecimento de padrões e generalização de regras; construção e execução de algoritmos (sequência, ordem e precisão de instruções); lógica proposicional (valores verdadeiro/falso aplicados a uma regra); decomposição de problemas (dividir uma construção complexa em partes menores). Modo sobrevivência (aplicado com as turmas de 4º/5º, 6º/7º e 8º/9º ano): gerenciamento de recursos sob restrição (vida, fome); processos com entrada e saída (fabricação e fundição: ingredientes + combustível → item pronto); classificação de itens por tipo/categoria (ferramentas, minérios); proporção e quantidade (receitas de fabricação).</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1"/>
          <w:bCs w:val="1"/>
          <w:sz w:val="24"/>
          <w:szCs w:val="24"/>
        </w:rPr>
      </w:pPr>
      <w:bookmarkStart w:colFirst="0" w:colLast="0" w:name="_heading=h.uof6btbv315f" w:id="0"/>
      <w:bookmarkEnd w:id="0"/>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bCs w:val="1"/>
          <w:sz w:val="24"/>
          <w:szCs w:val="24"/>
        </w:rPr>
      </w:pPr>
      <w:bookmarkStart w:colFirst="0" w:colLast="0" w:name="_heading=h.vqalt03grlpx" w:id="1"/>
      <w:bookmarkEnd w:id="1"/>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color w:val="ff0000"/>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sz w:val="24"/>
          <w:szCs w:val="24"/>
          <w:rtl w:val="0"/>
        </w:rPr>
        <w:t xml:space="preserve">RELATO DA ATIVIDADE: </w:t>
      </w:r>
      <w:r w:rsidDel="00000000" w:rsidR="00000000" w:rsidRPr="00000000">
        <w:rPr>
          <w:rFonts w:ascii="Times New Roman" w:cs="Times New Roman" w:eastAsia="Times New Roman" w:hAnsi="Times New Roman"/>
          <w:sz w:val="24"/>
          <w:szCs w:val="24"/>
          <w:rtl w:val="0"/>
        </w:rPr>
        <w:t>O jogo Lógica em Jogo — plataforma própria, sandbox voxel 3D sem software licenciado, desenvolvida pelo professor de tecnologia da escola — foi aplicado entre 13/07/2026 e 31/08/2026 no laboratório de informática, com 61 alunos distribuídos em quatro turmas multisseriadas (2º/3º, 4º/5º, 6º/7º e 8º/9º ano), incluindo alunos do Atendimento Educacional Especializado (AEE). A proposta foi apresentada às turmas como um jogo de construção em rede local: cada grupo recebe um enunciado e acompanha, em tempo real, um contador que confere automaticamente se a construção cumpre a regra pedida. A aplicação teve três fases: primeiro, o repertório de atividades pré-definidas do jogo (sequência de padrões, depuração, simetria e execução de um algoritmo) — pensado para exercitar, de forma concreta, os pilares que Jeannette Wing (2006) reúne sob o termo pensamento computacional (reconhecimento de padrões, decomposição, abstração e construção de algoritmos); depois, períodos de construção livre em modo criativo; e, assim que o modo sobrevivência foi implementado no jogo, sua introdução nas turmas mais avançadas — 4º/5º, 6º/7º e 8º/9º ano passaram a jogar exclusivamente nesse modo, enquanto a turma de 2º/3º ano permaneceu no modo criativo. Duas atividades do repertório pré-definido (representação binária e cifra de César) não foram aplicadas por exigirem conhecimento prévio que as turmas ainda não tinham desenvolvido.</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color w:val="ff0000"/>
          <w:sz w:val="24"/>
          <w:szCs w:val="24"/>
        </w:rPr>
      </w:pPr>
      <w:bookmarkStart w:colFirst="0" w:colLast="0" w:name="_heading=h.2ollgwke93dy" w:id="3"/>
      <w:bookmarkEnd w:id="3"/>
      <w:r w:rsidDel="00000000" w:rsidR="00000000" w:rsidRPr="00000000">
        <w:rPr>
          <w:rFonts w:ascii="Times New Roman" w:cs="Times New Roman" w:eastAsia="Times New Roman" w:hAnsi="Times New Roman"/>
          <w:color w:val="ff0000"/>
          <w:sz w:val="24"/>
          <w:szCs w:val="24"/>
          <w:rtl w:val="0"/>
        </w:rPr>
        <w:t xml:space="preserve">O QUE </w:t>
      </w:r>
      <w:r w:rsidDel="00000000" w:rsidR="00000000" w:rsidRPr="00000000">
        <w:rPr>
          <w:rFonts w:ascii="Times New Roman" w:cs="Times New Roman" w:eastAsia="Times New Roman" w:hAnsi="Times New Roman"/>
          <w:b w:val="1"/>
          <w:bCs w:val="1"/>
          <w:color w:val="ff0000"/>
          <w:sz w:val="24"/>
          <w:szCs w:val="24"/>
          <w:rtl w:val="0"/>
        </w:rPr>
        <w:t xml:space="preserve">NÃO </w:t>
      </w:r>
      <w:r w:rsidDel="00000000" w:rsidR="00000000" w:rsidRPr="00000000">
        <w:rPr>
          <w:rFonts w:ascii="Times New Roman" w:cs="Times New Roman" w:eastAsia="Times New Roman" w:hAnsi="Times New Roman"/>
          <w:color w:val="ff0000"/>
          <w:sz w:val="24"/>
          <w:szCs w:val="24"/>
          <w:rtl w:val="0"/>
        </w:rPr>
        <w:t xml:space="preserve">DESCREVER: </w:t>
      </w:r>
      <w:r w:rsidDel="00000000" w:rsidR="00000000" w:rsidRPr="00000000">
        <w:rPr>
          <w:rFonts w:ascii="Times New Roman" w:cs="Times New Roman" w:eastAsia="Times New Roman" w:hAnsi="Times New Roman"/>
          <w:b w:val="1"/>
          <w:bCs w:val="1"/>
          <w:color w:val="ff0000"/>
          <w:sz w:val="24"/>
          <w:szCs w:val="24"/>
          <w:rtl w:val="0"/>
        </w:rPr>
        <w:t xml:space="preserve">apenas</w:t>
      </w:r>
      <w:r w:rsidDel="00000000" w:rsidR="00000000" w:rsidRPr="00000000">
        <w:rPr>
          <w:rFonts w:ascii="Times New Roman" w:cs="Times New Roman" w:eastAsia="Times New Roman" w:hAnsi="Times New Roman"/>
          <w:color w:val="ff0000"/>
          <w:sz w:val="24"/>
          <w:szCs w:val="24"/>
          <w:rtl w:val="0"/>
        </w:rPr>
        <w:t xml:space="preserve"> como se constrói/produz aquele protótipo/trabalho, sem detalhar a intencionalidade pedagógica durante as aulas; ideias futuras ainda não aplicadas.</w:t>
      </w:r>
    </w:p>
    <w:p w:rsidR="00000000" w:rsidDel="00000000" w:rsidP="00000000" w:rsidRDefault="00000000" w:rsidRPr="00000000" w14:paraId="0000001D">
      <w:pPr>
        <w:spacing w:after="0" w:line="240" w:lineRule="auto"/>
        <w:jc w:val="both"/>
        <w:rPr>
          <w:rFonts w:ascii="Times New Roman" w:cs="Times New Roman" w:eastAsia="Times New Roman" w:hAnsi="Times New Roman"/>
          <w:color w:val="ff0000"/>
          <w:sz w:val="24"/>
          <w:szCs w:val="24"/>
        </w:rPr>
      </w:pPr>
      <w:bookmarkStart w:colFirst="0" w:colLast="0" w:name="_heading=h.z8j5po61g9fk" w:id="4"/>
      <w:bookmarkEnd w:id="4"/>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color w:val="ff0000"/>
          <w:sz w:val="24"/>
          <w:szCs w:val="24"/>
        </w:rPr>
      </w:pPr>
      <w:bookmarkStart w:colFirst="0" w:colLast="0" w:name="_heading=h.k1b5qzdpsqy2" w:id="5"/>
      <w:bookmarkEnd w:id="5"/>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ff0000"/>
          <w:sz w:val="24"/>
          <w:szCs w:val="24"/>
        </w:rPr>
      </w:pPr>
      <w:bookmarkStart w:colFirst="0" w:colLast="0" w:name="_heading=h.h5mj0olmsgku" w:id="6"/>
      <w:bookmarkEnd w:id="6"/>
      <w:r w:rsidDel="00000000" w:rsidR="00000000" w:rsidRPr="00000000">
        <w:rPr>
          <w:rFonts w:ascii="Times New Roman" w:cs="Times New Roman" w:eastAsia="Times New Roman" w:hAnsi="Times New Roman"/>
          <w:color w:val="ff0000"/>
          <w:sz w:val="24"/>
          <w:szCs w:val="24"/>
          <w:rtl w:val="0"/>
        </w:rPr>
        <w:t xml:space="preserve">O QUE DESCREVER, POR EXEMPLO: como as aulas foram realizadas; como a proposta/tema/problema foi apresentado;as percepções dos professores e dos estudantes quanto à experiência de desenvolver esse trabalho e aos resultados de aprendizagem; como se constrói/produz aquele protótipo/trabalho, de forma a poder ser replicado em outras escolas; considerações do que funcionou bem, do que poderia melhorar, e cuidados a se tomar.</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Momento 1</w:t>
      </w:r>
      <w:r w:rsidDel="00000000" w:rsidR="00000000" w:rsidRPr="00000000">
        <w:rPr>
          <w:rFonts w:ascii="Times New Roman" w:cs="Times New Roman" w:eastAsia="Times New Roman" w:hAnsi="Times New Roman"/>
          <w:sz w:val="24"/>
          <w:szCs w:val="24"/>
          <w:rtl w:val="0"/>
        </w:rPr>
        <w:t>: o professor demonstrava cada atividade no projetor antes da prática, explicando o enunciado e como o contador confere a construção. Na sequência de cores (3 fases de período crescente), a terceira fase tomou bastante tempo de vários alunos e revelou uma fragilidade no raciocínio lógico de parte das turmas — evidenciando o valor diagnóstico da atividade: mais do que ensinar, o jogo expôs exatamente a lacuna que o projeto se propõe a trabalhar. Na depuração, cada grupo teve de localizar dois blocos que quebravam a regra combinada, testando hipóteses e revisando a construção; na simetria, corrigiram quatro células de um desenho para restaurar o padrão, dividindo o problema em partes menores. Seguir o manual — montar uma sala 3×3 a partir de três quadros ilustrados, na ordem e com a precisão indicadas — fechou o repertório dirigido. Na maioria das turmas os grupos completaram os objetivos com mediação pontual do professor; as conquistas eram comemoradas com alegria visível. As atividades de representação binária e de cifra de César não entraram nesta fase por exigirem conhecimento prévio que as turmas ainda não tinham desenvolvido. (inclua as fotografias ao longo do relato)</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Momento 2</w:t>
      </w:r>
      <w:r w:rsidDel="00000000" w:rsidR="00000000" w:rsidRPr="00000000">
        <w:rPr>
          <w:rFonts w:ascii="Times New Roman" w:cs="Times New Roman" w:eastAsia="Times New Roman" w:hAnsi="Times New Roman"/>
          <w:sz w:val="24"/>
          <w:szCs w:val="24"/>
          <w:rtl w:val="0"/>
        </w:rPr>
        <w:t>: depois do repertório dirigido, as turmas passaram a ter períodos de construção livre no mundo procedural, em modo criativo — sem os riscos de vida e fome do modo sobrevivência. Foi a atividade favorita, unânime entre as turmas: engajamento visivelmente mais alto, cooperação espontânea entre os alunos (uns ensinando os outros), disputa saudável entre grupos e, sobretudo entre os alunos menores, gritos de alegria ao concluir as construções. Os alunos do AEE, integrados às turmas regulares, tiveram bom desempenho nessa etapa e na atividade de sequência (Momento 1), trabalhando com autonomia na maior parte do tempo e precisando de mediação apenas em momentos pontuais — resultado que a equipe atribui à interface simples, à tarefa visual, à correção imediata do contador (nas atividades dirigidas) e à liberdade de exploração (na construção livre). O padrão observado é coerente com o que Piaget (1977) descreve sobre a construção do conhecimento pela interação ativa do indivíduo com o ambiente — a exploração livre do mundo do jogo deu aos alunos, inclusive aos do AEE, espaço para testar e reorganizar suas próprias estratégias. (inclua as fotografias ao longo do relato)</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Momento 3:</w:t>
      </w:r>
      <w:r w:rsidDel="00000000" w:rsidR="00000000" w:rsidRPr="00000000">
        <w:rPr>
          <w:rFonts w:ascii="Times New Roman" w:cs="Times New Roman" w:eastAsia="Times New Roman" w:hAnsi="Times New Roman"/>
          <w:sz w:val="24"/>
          <w:szCs w:val="24"/>
          <w:rtl w:val="0"/>
        </w:rPr>
        <w:t xml:space="preserve"> assim que o modo sobrevivência foi implementado no jogo, o professor passou a introduzi-lo nas turmas mais avançadas. A recepção foi muito positiva: as turmas de 4º/5º, 6º/7º e 8º/9º ano migraram para o modo sobrevivência, enquanto a de 2º/3º ano permaneceu no modo criativo, mais adequado à faixa etária. Os requisitos de fome e vida foram amplamente aceitos pelos alunos — só alguns consideraram o modo mais limitante do que esperavam. Sob a nova regra, surgiram construções mais complexas e, de forma espontânea, sem proposta do professor, os próprios alunos passaram a negociar recursos entre si: uma atividade comercial que nasceu do jogo, não da aula. (inclua as fotografias ao longo do relato)</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Momento 4</w:t>
      </w:r>
      <w:r w:rsidDel="00000000" w:rsidR="00000000" w:rsidRPr="00000000">
        <w:rPr>
          <w:rFonts w:ascii="Times New Roman" w:cs="Times New Roman" w:eastAsia="Times New Roman" w:hAnsi="Times New Roman"/>
          <w:sz w:val="24"/>
          <w:szCs w:val="24"/>
          <w:rtl w:val="0"/>
        </w:rPr>
        <w:t>: a partir daí, as aulas com essas turmas passaram a usar exclusivamente o modo sobrevivência. Os alunos mineravam e coletavam recursos no mundo procedural, fabricavam itens por receita e fundiam materiais na fornalha, construíam abrigos e bases para se proteger, e geriam o dia a dia de vida, fome e fôlego. De forma indireta — sem uma aula dirigida como as do Momento 1 — essas atividades passaram a abordar as mesmas habilidades multidisciplinares do repertório pré-definido: reconhecimento de padrões e classificação (tipos de ferramenta e de minério), sequenciamento e decomposição de problemas (planejar uma construção ou uma cadeia de fabricação) e resolução de problemas sob restrição de recursos. O engajamento nessas aulas foi ainda mais alto do que nas aulas dirigidas do Momento 1 — consistente com o que Gee (2003) aponta sobre bons jogos digitais incorporarem princípios de aprendizagem que estimulam a experimentação, e com o que Kapp (2012) descreve sobre elementos de jogo (desafio, objetivo, retorno imediato) potencializarem o engajamento dos estudantes. Um cuidado identificado para as próximas turmas: reservar as atividades de representação binária e de cifra de César do Momento 1 para etapas em que os alunos já tenham o pré-requisito necessário, ou preparar esse conteúdo antes de aplicá-las. (inclua as fotografias ao longo do relato)</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INSTRUMENTOS E CRITÉRIOS DE AVALIAÇÃO: </w:t>
      </w:r>
      <w:r w:rsidDel="00000000" w:rsidR="00000000" w:rsidRPr="00000000">
        <w:rPr>
          <w:rFonts w:ascii="Times New Roman" w:cs="Times New Roman" w:eastAsia="Times New Roman" w:hAnsi="Times New Roman"/>
          <w:sz w:val="24"/>
          <w:szCs w:val="24"/>
          <w:rtl w:val="0"/>
        </w:rPr>
        <w:t>Avaliação formativa e observacional, feita pelo professor durante a circulação entre os grupos, com apoio do contador automático do jogo (que confirma, em tempo real, se a construção do grupo cumpre o objetivo). Critérios observados em cada atividade: (1) se o grupo enuncia a regra antes de construir ou procede por tentativa e erro; (2) se, quando o contador não avança, o grupo revisa a hipótese ou apenas insiste; (3) como o grupo divide o trabalho internamente (quem constrói, quem confere); (4) na atividade de depuração, se a busca pelos erros foi sistemática ou aleatória. O fechamento do contador serviu como critério objetivo complementar de conclusão de cada atividade nas aulas do Momento 1. No modo sobrevivência (Momentos 3 e 4), sem contador de objetivo, a avaliação foi observacional: autonomia na gestão de recursos (vida, fome, materiais), complexidade das construções e cadeias de fabricação planejadas pelo grupo, e cooperação entre grupos (incluindo a troca de recursos surgida espontaneamente entre os alunos).</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w:t>
      </w:r>
      <w:r w:rsidDel="00000000" w:rsidR="00000000" w:rsidRPr="00000000">
        <w:rPr>
          <w:rFonts w:ascii="Times New Roman" w:cs="Times New Roman" w:eastAsia="Times New Roman" w:hAnsi="Times New Roman"/>
          <w:sz w:val="24"/>
          <w:szCs w:val="24"/>
          <w:rtl w:val="0"/>
        </w:rPr>
        <w:t>GEE, James Paul. What Video Games Have to Teach Us About Learning and Literacy. New York: Palgrave Macmillan, 2003.</w:t>
      </w:r>
      <w:r w:rsidDel="00000000" w:rsidR="00000000" w:rsidRPr="00000000">
        <w:rPr>
          <w:rFonts w:ascii="Times New Roman" w:cs="Times New Roman" w:eastAsia="Times New Roman" w:hAnsi="Times New Roman"/>
          <w:color w:val="ff0000"/>
          <w:sz w:val="24"/>
          <w:szCs w:val="24"/>
          <w:rtl w:val="0"/>
        </w:rPr>
      </w:r>
      <w:r>
        <w:br/>
      </w:r>
      <w:r>
        <w:t>KAPP, Karl M. The Gamification of Learning and Instruction. San Francisco: Pfeiffer, 2012.</w:t>
      </w:r>
      <w:r>
        <w:br/>
      </w:r>
      <w:r>
        <w:t>PIAGET, Jean. A Psicologia da Inteligência. Tradução: Nathanael C. Caixeiro. Rio de Janeiro: Zahar, 1977.</w:t>
      </w:r>
      <w:r>
        <w:br/>
      </w:r>
      <w:r>
        <w:t>WING, Jeannette M. Computational Thinking. Communications of the ACM, v. 49, n. 3, p. 33–35, mar. 2006.</w:t>
      </w:r>
    </w:p>
    <w:p w:rsidR="00000000" w:rsidDel="00000000" w:rsidP="00000000" w:rsidRDefault="00000000" w:rsidRPr="00000000" w14:paraId="0000002E">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t xml:space="preserve">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iyHa1lQeAQ30kstANAcvZfw8w==">CgMxLjAyDmgudW9mNmJ0YnYzMTVmMg5oLnZxYWx0MDNncmxweDIIaC5namRneHMyDmguMm9sbGd3a2U5M2R5Mg5oLno4ajVwbzYxZzlmazIOaC5rMWI1cXpkcHNxeTIyDmguaDVtajBvbG1zZ2t1OAByITFxa0tMV2d5eXdGOUFETnJBaENPVkVkWklkOG0yWTlpNA==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2023-04-07T21:35:00Z</dcterms:created>
  <dc:creator>LR</dc:creator>
</cp:coreProperties>
</file>