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KKR1234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Kalkara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Malta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2025-01-06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49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2024-12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Peter Mekis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62 Rinella str Kalkara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Revolut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12345678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revoswift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3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