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Kati Kövesdy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1134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Erdőkövesd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Rákóczi út 14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Magyarország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2025-01-13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2024-12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Kati Kövesdy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Erdőkövesd, Rákóczi út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otpswift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