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74FB" w:rsidRDefault="00CA0B19">
      <w:pPr>
        <w:pStyle w:val="Title"/>
      </w:pPr>
      <w:r>
        <w:t>Insights:</w:t>
      </w:r>
    </w:p>
    <w:p w:rsidR="00D374FB" w:rsidRDefault="00CA0B19">
      <w:pPr>
        <w:pStyle w:val="Subtitle"/>
        <w:rPr>
          <w:b/>
          <w:bCs/>
          <w:i w:val="0"/>
          <w:iCs w:val="0"/>
          <w:color w:val="808080"/>
          <w:u w:color="808080"/>
        </w:rPr>
      </w:pPr>
      <w:r>
        <w:rPr>
          <w:b/>
          <w:bCs/>
          <w:i w:val="0"/>
          <w:iCs w:val="0"/>
          <w:color w:val="808080"/>
          <w:u w:color="808080"/>
        </w:rPr>
        <w:t>Dataset:</w:t>
      </w:r>
    </w:p>
    <w:p w:rsidR="00D374FB" w:rsidRDefault="00CA0B19">
      <w:pPr>
        <w:pStyle w:val="Subtitle"/>
        <w:numPr>
          <w:ilvl w:val="0"/>
          <w:numId w:val="2"/>
        </w:numPr>
        <w:rPr>
          <w:i w:val="0"/>
          <w:iCs w:val="0"/>
          <w:color w:val="808080"/>
        </w:rPr>
      </w:pPr>
      <w:r>
        <w:rPr>
          <w:i w:val="0"/>
          <w:iCs w:val="0"/>
          <w:color w:val="808080"/>
          <w:u w:color="808080"/>
        </w:rPr>
        <w:t xml:space="preserve">Two of the APIs in the </w:t>
      </w:r>
      <w:proofErr w:type="spellStart"/>
      <w:r>
        <w:rPr>
          <w:i w:val="0"/>
          <w:iCs w:val="0"/>
          <w:color w:val="808080"/>
          <w:u w:color="808080"/>
        </w:rPr>
        <w:t>production_data</w:t>
      </w:r>
      <w:proofErr w:type="spellEnd"/>
      <w:r>
        <w:rPr>
          <w:i w:val="0"/>
          <w:iCs w:val="0"/>
          <w:color w:val="808080"/>
          <w:u w:color="808080"/>
        </w:rPr>
        <w:t xml:space="preserve"> file are from the same basin and have the same operator. In addition to that they produced the exact amount of gas, oil, water at the same dates for all their life time. That’s why we believe that </w:t>
      </w:r>
      <w:r>
        <w:rPr>
          <w:i w:val="0"/>
          <w:iCs w:val="0"/>
          <w:color w:val="808080"/>
          <w:u w:color="808080"/>
        </w:rPr>
        <w:t>the 2 APIs refer to the same well</w:t>
      </w:r>
    </w:p>
    <w:p w:rsidR="00D374FB" w:rsidRDefault="00CA0B19">
      <w:pPr>
        <w:pStyle w:val="Subtitle"/>
        <w:numPr>
          <w:ilvl w:val="2"/>
          <w:numId w:val="4"/>
        </w:numPr>
        <w:rPr>
          <w:i w:val="0"/>
          <w:iCs w:val="0"/>
          <w:color w:val="808080"/>
        </w:rPr>
      </w:pPr>
      <w:r>
        <w:rPr>
          <w:i w:val="0"/>
          <w:iCs w:val="0"/>
          <w:color w:val="808080"/>
          <w:u w:color="808080"/>
        </w:rPr>
        <w:t>35073256530000</w:t>
      </w:r>
    </w:p>
    <w:p w:rsidR="00D374FB" w:rsidRDefault="00CA0B19">
      <w:pPr>
        <w:pStyle w:val="Subtitle"/>
        <w:numPr>
          <w:ilvl w:val="2"/>
          <w:numId w:val="4"/>
        </w:numPr>
        <w:rPr>
          <w:i w:val="0"/>
          <w:iCs w:val="0"/>
          <w:color w:val="808080"/>
        </w:rPr>
      </w:pPr>
      <w:r>
        <w:rPr>
          <w:i w:val="0"/>
          <w:iCs w:val="0"/>
          <w:color w:val="808080"/>
          <w:u w:color="808080"/>
        </w:rPr>
        <w:t>35073256910000</w:t>
      </w:r>
    </w:p>
    <w:p w:rsidR="00D374FB" w:rsidRDefault="00CA0B19">
      <w:pPr>
        <w:pStyle w:val="Subtitle"/>
        <w:numPr>
          <w:ilvl w:val="0"/>
          <w:numId w:val="2"/>
        </w:numPr>
        <w:rPr>
          <w:i w:val="0"/>
          <w:iCs w:val="0"/>
          <w:color w:val="808080"/>
        </w:rPr>
      </w:pPr>
      <w:r>
        <w:rPr>
          <w:i w:val="0"/>
          <w:iCs w:val="0"/>
          <w:color w:val="808080"/>
          <w:u w:color="808080"/>
        </w:rPr>
        <w:t>Some records were duplicated in the dataset.</w:t>
      </w:r>
    </w:p>
    <w:p w:rsidR="00D374FB" w:rsidRDefault="00D374FB">
      <w:pPr>
        <w:pStyle w:val="Body"/>
      </w:pPr>
    </w:p>
    <w:p w:rsidR="00D374FB" w:rsidRDefault="00D374FB">
      <w:pPr>
        <w:pStyle w:val="Subtitle"/>
      </w:pPr>
    </w:p>
    <w:p w:rsidR="00D374FB" w:rsidRDefault="00CA0B19">
      <w:pPr>
        <w:pStyle w:val="Subtitle"/>
      </w:pPr>
      <w:r>
        <w:br w:type="page"/>
      </w:r>
    </w:p>
    <w:p w:rsidR="00D374FB" w:rsidRDefault="00CA0B19">
      <w:pPr>
        <w:pStyle w:val="Subtitle"/>
        <w:rPr>
          <w:b/>
          <w:bCs/>
          <w:i w:val="0"/>
          <w:iCs w:val="0"/>
          <w:color w:val="808080"/>
          <w:u w:color="808080"/>
        </w:rPr>
      </w:pPr>
      <w:r>
        <w:rPr>
          <w:b/>
          <w:bCs/>
          <w:i w:val="0"/>
          <w:iCs w:val="0"/>
          <w:color w:val="808080"/>
          <w:u w:color="808080"/>
        </w:rPr>
        <w:lastRenderedPageBreak/>
        <w:t>Plot 1:</w:t>
      </w:r>
    </w:p>
    <w:p w:rsidR="00D374FB" w:rsidRDefault="00CA0B19">
      <w:pPr>
        <w:pStyle w:val="Body"/>
      </w:pPr>
      <w:r>
        <w:rPr>
          <w:noProof/>
        </w:rPr>
        <w:drawing>
          <wp:inline distT="0" distB="0" distL="0" distR="0">
            <wp:extent cx="5943600" cy="1410336"/>
            <wp:effectExtent l="0" t="0" r="0" b="0"/>
            <wp:docPr id="1073741825" name="officeArt object" descr="Plot1-Anadarku.png"/>
            <wp:cNvGraphicFramePr/>
            <a:graphic xmlns:a="http://schemas.openxmlformats.org/drawingml/2006/main">
              <a:graphicData uri="http://schemas.openxmlformats.org/drawingml/2006/picture">
                <pic:pic xmlns:pic="http://schemas.openxmlformats.org/drawingml/2006/picture">
                  <pic:nvPicPr>
                    <pic:cNvPr id="1073741825" name="Plot1-Anadarku.png" descr="Plot1-Anadarku.png"/>
                    <pic:cNvPicPr>
                      <a:picLocks noChangeAspect="1"/>
                    </pic:cNvPicPr>
                  </pic:nvPicPr>
                  <pic:blipFill>
                    <a:blip r:embed="rId8">
                      <a:extLst/>
                    </a:blip>
                    <a:stretch>
                      <a:fillRect/>
                    </a:stretch>
                  </pic:blipFill>
                  <pic:spPr>
                    <a:xfrm>
                      <a:off x="0" y="0"/>
                      <a:ext cx="5943600" cy="1410336"/>
                    </a:xfrm>
                    <a:prstGeom prst="rect">
                      <a:avLst/>
                    </a:prstGeom>
                    <a:ln w="12700" cap="flat">
                      <a:noFill/>
                      <a:miter lim="400000"/>
                    </a:ln>
                    <a:effectLst/>
                  </pic:spPr>
                </pic:pic>
              </a:graphicData>
            </a:graphic>
          </wp:inline>
        </w:drawing>
      </w:r>
      <w:r>
        <w:br/>
      </w:r>
      <w:r>
        <w:rPr>
          <w:noProof/>
        </w:rPr>
        <w:drawing>
          <wp:inline distT="0" distB="0" distL="0" distR="0">
            <wp:extent cx="5943600" cy="1410336"/>
            <wp:effectExtent l="0" t="0" r="0" b="0"/>
            <wp:docPr id="1073741826" name="officeArt object" descr="Plot1-Denver.png"/>
            <wp:cNvGraphicFramePr/>
            <a:graphic xmlns:a="http://schemas.openxmlformats.org/drawingml/2006/main">
              <a:graphicData uri="http://schemas.openxmlformats.org/drawingml/2006/picture">
                <pic:pic xmlns:pic="http://schemas.openxmlformats.org/drawingml/2006/picture">
                  <pic:nvPicPr>
                    <pic:cNvPr id="1073741826" name="Plot1-Denver.png" descr="Plot1-Denver.png"/>
                    <pic:cNvPicPr>
                      <a:picLocks noChangeAspect="1"/>
                    </pic:cNvPicPr>
                  </pic:nvPicPr>
                  <pic:blipFill>
                    <a:blip r:embed="rId9">
                      <a:extLst/>
                    </a:blip>
                    <a:stretch>
                      <a:fillRect/>
                    </a:stretch>
                  </pic:blipFill>
                  <pic:spPr>
                    <a:xfrm>
                      <a:off x="0" y="0"/>
                      <a:ext cx="5943600" cy="1410336"/>
                    </a:xfrm>
                    <a:prstGeom prst="rect">
                      <a:avLst/>
                    </a:prstGeom>
                    <a:ln w="12700" cap="flat">
                      <a:noFill/>
                      <a:miter lim="400000"/>
                    </a:ln>
                    <a:effectLst/>
                  </pic:spPr>
                </pic:pic>
              </a:graphicData>
            </a:graphic>
          </wp:inline>
        </w:drawing>
      </w:r>
      <w:r>
        <w:br/>
      </w:r>
      <w:r>
        <w:rPr>
          <w:noProof/>
        </w:rPr>
        <w:drawing>
          <wp:inline distT="0" distB="0" distL="0" distR="0">
            <wp:extent cx="5943600" cy="1410336"/>
            <wp:effectExtent l="0" t="0" r="0" b="0"/>
            <wp:docPr id="1073741827" name="officeArt object" descr="Plot1-Permian.png"/>
            <wp:cNvGraphicFramePr/>
            <a:graphic xmlns:a="http://schemas.openxmlformats.org/drawingml/2006/main">
              <a:graphicData uri="http://schemas.openxmlformats.org/drawingml/2006/picture">
                <pic:pic xmlns:pic="http://schemas.openxmlformats.org/drawingml/2006/picture">
                  <pic:nvPicPr>
                    <pic:cNvPr id="1073741827" name="Plot1-Permian.png" descr="Plot1-Permian.png"/>
                    <pic:cNvPicPr>
                      <a:picLocks noChangeAspect="1"/>
                    </pic:cNvPicPr>
                  </pic:nvPicPr>
                  <pic:blipFill>
                    <a:blip r:embed="rId10">
                      <a:extLst/>
                    </a:blip>
                    <a:stretch>
                      <a:fillRect/>
                    </a:stretch>
                  </pic:blipFill>
                  <pic:spPr>
                    <a:xfrm>
                      <a:off x="0" y="0"/>
                      <a:ext cx="5943600" cy="1410336"/>
                    </a:xfrm>
                    <a:prstGeom prst="rect">
                      <a:avLst/>
                    </a:prstGeom>
                    <a:ln w="12700" cap="flat">
                      <a:noFill/>
                      <a:miter lim="400000"/>
                    </a:ln>
                    <a:effectLst/>
                  </pic:spPr>
                </pic:pic>
              </a:graphicData>
            </a:graphic>
          </wp:inline>
        </w:drawing>
      </w:r>
      <w:r>
        <w:br/>
      </w:r>
      <w:r>
        <w:rPr>
          <w:noProof/>
        </w:rPr>
        <w:drawing>
          <wp:inline distT="0" distB="0" distL="0" distR="0">
            <wp:extent cx="5943600" cy="1410336"/>
            <wp:effectExtent l="0" t="0" r="0" b="0"/>
            <wp:docPr id="1073741828" name="officeArt object" descr="Plot1-Williston.png"/>
            <wp:cNvGraphicFramePr/>
            <a:graphic xmlns:a="http://schemas.openxmlformats.org/drawingml/2006/main">
              <a:graphicData uri="http://schemas.openxmlformats.org/drawingml/2006/picture">
                <pic:pic xmlns:pic="http://schemas.openxmlformats.org/drawingml/2006/picture">
                  <pic:nvPicPr>
                    <pic:cNvPr id="1073741828" name="Plot1-Williston.png" descr="Plot1-Williston.png"/>
                    <pic:cNvPicPr>
                      <a:picLocks noChangeAspect="1"/>
                    </pic:cNvPicPr>
                  </pic:nvPicPr>
                  <pic:blipFill>
                    <a:blip r:embed="rId11">
                      <a:extLst/>
                    </a:blip>
                    <a:stretch>
                      <a:fillRect/>
                    </a:stretch>
                  </pic:blipFill>
                  <pic:spPr>
                    <a:xfrm>
                      <a:off x="0" y="0"/>
                      <a:ext cx="5943600" cy="1410336"/>
                    </a:xfrm>
                    <a:prstGeom prst="rect">
                      <a:avLst/>
                    </a:prstGeom>
                    <a:ln w="12700" cap="flat">
                      <a:noFill/>
                      <a:miter lim="400000"/>
                    </a:ln>
                    <a:effectLst/>
                  </pic:spPr>
                </pic:pic>
              </a:graphicData>
            </a:graphic>
          </wp:inline>
        </w:drawing>
      </w:r>
    </w:p>
    <w:p w:rsidR="00D374FB" w:rsidRDefault="00CA0B19">
      <w:pPr>
        <w:pStyle w:val="Subtitle"/>
        <w:numPr>
          <w:ilvl w:val="0"/>
          <w:numId w:val="2"/>
        </w:numPr>
        <w:rPr>
          <w:i w:val="0"/>
          <w:iCs w:val="0"/>
          <w:color w:val="808080"/>
        </w:rPr>
      </w:pPr>
      <w:r>
        <w:rPr>
          <w:i w:val="0"/>
          <w:iCs w:val="0"/>
          <w:color w:val="808080"/>
          <w:u w:color="808080"/>
        </w:rPr>
        <w:t>The months at which the basins production attain a form of low production monotonic horizontal lines increased by a rough avera</w:t>
      </w:r>
      <w:r>
        <w:rPr>
          <w:i w:val="0"/>
          <w:iCs w:val="0"/>
          <w:color w:val="808080"/>
          <w:u w:color="808080"/>
        </w:rPr>
        <w:t>ge of 11 months after applying the new drilling techniques in 2014.</w:t>
      </w:r>
      <w:r>
        <w:rPr>
          <w:i w:val="0"/>
          <w:iCs w:val="0"/>
          <w:color w:val="808080"/>
          <w:u w:color="808080"/>
        </w:rPr>
        <w:br/>
      </w:r>
      <w:proofErr w:type="gramStart"/>
      <w:r>
        <w:rPr>
          <w:b/>
          <w:bCs/>
          <w:i w:val="0"/>
          <w:iCs w:val="0"/>
          <w:color w:val="808080"/>
          <w:u w:color="808080"/>
        </w:rPr>
        <w:t>i.e</w:t>
      </w:r>
      <w:proofErr w:type="gramEnd"/>
      <w:r>
        <w:rPr>
          <w:b/>
          <w:bCs/>
          <w:i w:val="0"/>
          <w:iCs w:val="0"/>
          <w:color w:val="808080"/>
          <w:u w:color="808080"/>
        </w:rPr>
        <w:t>.</w:t>
      </w:r>
      <w:r>
        <w:rPr>
          <w:i w:val="0"/>
          <w:iCs w:val="0"/>
          <w:color w:val="808080"/>
          <w:u w:color="808080"/>
        </w:rPr>
        <w:t xml:space="preserve"> around one year of higher levels of production is added to each basin with the new applied techniques.</w:t>
      </w:r>
    </w:p>
    <w:p w:rsidR="00D374FB" w:rsidRDefault="00CA0B19">
      <w:pPr>
        <w:pStyle w:val="Subtitle"/>
        <w:numPr>
          <w:ilvl w:val="0"/>
          <w:numId w:val="2"/>
        </w:numPr>
        <w:rPr>
          <w:i w:val="0"/>
          <w:iCs w:val="0"/>
          <w:color w:val="808080"/>
        </w:rPr>
      </w:pPr>
      <w:r>
        <w:rPr>
          <w:i w:val="0"/>
          <w:iCs w:val="0"/>
          <w:color w:val="808080"/>
          <w:u w:color="808080"/>
        </w:rPr>
        <w:t>The production amount of wells in each basin acquires similar behavior resulting</w:t>
      </w:r>
      <w:r>
        <w:rPr>
          <w:i w:val="0"/>
          <w:iCs w:val="0"/>
          <w:color w:val="808080"/>
          <w:u w:color="808080"/>
        </w:rPr>
        <w:t xml:space="preserve"> in close mean and median values.</w:t>
      </w:r>
      <w:r w:rsidR="00055182">
        <w:rPr>
          <w:i w:val="0"/>
          <w:iCs w:val="0"/>
          <w:color w:val="808080"/>
          <w:u w:color="808080"/>
        </w:rPr>
        <w:t xml:space="preserve"> However, the difference </w:t>
      </w:r>
      <w:r w:rsidR="00055182">
        <w:rPr>
          <w:i w:val="0"/>
          <w:iCs w:val="0"/>
          <w:color w:val="808080"/>
          <w:u w:color="808080"/>
        </w:rPr>
        <w:lastRenderedPageBreak/>
        <w:t>between the mean and the median in “</w:t>
      </w:r>
      <w:proofErr w:type="spellStart"/>
      <w:r w:rsidR="00055182">
        <w:rPr>
          <w:i w:val="0"/>
          <w:iCs w:val="0"/>
          <w:color w:val="808080"/>
          <w:u w:color="808080"/>
        </w:rPr>
        <w:t>Anadarku</w:t>
      </w:r>
      <w:proofErr w:type="spellEnd"/>
      <w:r w:rsidR="00055182">
        <w:rPr>
          <w:i w:val="0"/>
          <w:iCs w:val="0"/>
          <w:color w:val="808080"/>
          <w:u w:color="808080"/>
        </w:rPr>
        <w:t>” indicates the presence of outliers.</w:t>
      </w:r>
      <w:r>
        <w:rPr>
          <w:i w:val="0"/>
          <w:iCs w:val="0"/>
          <w:color w:val="808080"/>
          <w:u w:color="808080"/>
        </w:rPr>
        <w:br w:type="page"/>
      </w:r>
    </w:p>
    <w:p w:rsidR="00D374FB" w:rsidRDefault="00CA0B19">
      <w:pPr>
        <w:pStyle w:val="Subtitle"/>
        <w:rPr>
          <w:b/>
          <w:bCs/>
          <w:i w:val="0"/>
          <w:iCs w:val="0"/>
          <w:color w:val="808080"/>
          <w:u w:color="808080"/>
        </w:rPr>
      </w:pPr>
      <w:r>
        <w:rPr>
          <w:b/>
          <w:bCs/>
          <w:i w:val="0"/>
          <w:iCs w:val="0"/>
          <w:color w:val="808080"/>
          <w:u w:color="808080"/>
        </w:rPr>
        <w:lastRenderedPageBreak/>
        <w:t>Plot 2:</w:t>
      </w:r>
    </w:p>
    <w:p w:rsidR="00D374FB" w:rsidRDefault="00CA0B19">
      <w:pPr>
        <w:pStyle w:val="Body"/>
      </w:pPr>
      <w:r>
        <w:rPr>
          <w:noProof/>
        </w:rPr>
        <w:drawing>
          <wp:inline distT="0" distB="0" distL="0" distR="0">
            <wp:extent cx="5943600" cy="4407535"/>
            <wp:effectExtent l="0" t="0" r="0" b="0"/>
            <wp:docPr id="1073741829" name="officeArt object" descr="Plot2.png"/>
            <wp:cNvGraphicFramePr/>
            <a:graphic xmlns:a="http://schemas.openxmlformats.org/drawingml/2006/main">
              <a:graphicData uri="http://schemas.openxmlformats.org/drawingml/2006/picture">
                <pic:pic xmlns:pic="http://schemas.openxmlformats.org/drawingml/2006/picture">
                  <pic:nvPicPr>
                    <pic:cNvPr id="1073741829" name="Plot2.png" descr="Plot2.png"/>
                    <pic:cNvPicPr>
                      <a:picLocks noChangeAspect="1"/>
                    </pic:cNvPicPr>
                  </pic:nvPicPr>
                  <pic:blipFill>
                    <a:blip r:embed="rId12">
                      <a:extLst/>
                    </a:blip>
                    <a:stretch>
                      <a:fillRect/>
                    </a:stretch>
                  </pic:blipFill>
                  <pic:spPr>
                    <a:xfrm>
                      <a:off x="0" y="0"/>
                      <a:ext cx="5943600" cy="4407535"/>
                    </a:xfrm>
                    <a:prstGeom prst="rect">
                      <a:avLst/>
                    </a:prstGeom>
                    <a:ln w="12700" cap="flat">
                      <a:noFill/>
                      <a:miter lim="400000"/>
                    </a:ln>
                    <a:effectLst/>
                  </pic:spPr>
                </pic:pic>
              </a:graphicData>
            </a:graphic>
          </wp:inline>
        </w:drawing>
      </w:r>
    </w:p>
    <w:p w:rsidR="00D374FB" w:rsidRDefault="00CA0B19">
      <w:pPr>
        <w:pStyle w:val="Subtitle"/>
        <w:numPr>
          <w:ilvl w:val="0"/>
          <w:numId w:val="2"/>
        </w:numPr>
        <w:rPr>
          <w:i w:val="0"/>
          <w:iCs w:val="0"/>
          <w:color w:val="808080"/>
        </w:rPr>
      </w:pPr>
      <w:r>
        <w:rPr>
          <w:i w:val="0"/>
          <w:iCs w:val="0"/>
          <w:color w:val="808080"/>
          <w:u w:color="808080"/>
        </w:rPr>
        <w:t>With plot one taken into consideration, we can infer that basins starting with higher production volume in their peaks, decline with higher percentage rates than those starting with lower levels.</w:t>
      </w:r>
      <w:r>
        <w:rPr>
          <w:b/>
          <w:bCs/>
          <w:i w:val="0"/>
          <w:iCs w:val="0"/>
          <w:color w:val="808080"/>
          <w:u w:color="808080"/>
        </w:rPr>
        <w:t xml:space="preserve"> </w:t>
      </w:r>
      <w:proofErr w:type="gramStart"/>
      <w:r>
        <w:rPr>
          <w:b/>
          <w:bCs/>
          <w:i w:val="0"/>
          <w:iCs w:val="0"/>
          <w:color w:val="808080"/>
          <w:u w:color="808080"/>
        </w:rPr>
        <w:t>i.e</w:t>
      </w:r>
      <w:proofErr w:type="gramEnd"/>
      <w:r>
        <w:rPr>
          <w:b/>
          <w:bCs/>
          <w:i w:val="0"/>
          <w:iCs w:val="0"/>
          <w:color w:val="808080"/>
          <w:u w:color="808080"/>
        </w:rPr>
        <w:t xml:space="preserve">. </w:t>
      </w:r>
      <w:r>
        <w:rPr>
          <w:i w:val="0"/>
          <w:iCs w:val="0"/>
          <w:color w:val="808080"/>
          <w:u w:color="808080"/>
        </w:rPr>
        <w:t>peak produ</w:t>
      </w:r>
      <w:r>
        <w:rPr>
          <w:i w:val="0"/>
          <w:iCs w:val="0"/>
          <w:color w:val="808080"/>
          <w:u w:color="808080"/>
        </w:rPr>
        <w:t>ction value is directly related to the production-declination percentage.</w:t>
      </w:r>
    </w:p>
    <w:p w:rsidR="00D374FB" w:rsidRDefault="00D374FB">
      <w:pPr>
        <w:pStyle w:val="Subtitle"/>
        <w:rPr>
          <w:b/>
          <w:bCs/>
          <w:i w:val="0"/>
          <w:iCs w:val="0"/>
          <w:color w:val="808080"/>
          <w:u w:color="808080"/>
        </w:rPr>
      </w:pPr>
    </w:p>
    <w:p w:rsidR="00D374FB" w:rsidRDefault="00D374FB">
      <w:pPr>
        <w:pStyle w:val="Subtitle"/>
        <w:rPr>
          <w:b/>
          <w:bCs/>
          <w:i w:val="0"/>
          <w:iCs w:val="0"/>
          <w:color w:val="808080"/>
          <w:u w:color="808080"/>
        </w:rPr>
      </w:pPr>
    </w:p>
    <w:p w:rsidR="00D374FB" w:rsidRDefault="00D374FB">
      <w:pPr>
        <w:pStyle w:val="Subtitle"/>
        <w:rPr>
          <w:b/>
          <w:bCs/>
          <w:i w:val="0"/>
          <w:iCs w:val="0"/>
          <w:color w:val="808080"/>
          <w:u w:color="808080"/>
        </w:rPr>
      </w:pPr>
    </w:p>
    <w:p w:rsidR="00D374FB" w:rsidRDefault="00CA0B19">
      <w:pPr>
        <w:pStyle w:val="Subtitle"/>
      </w:pPr>
      <w:r>
        <w:rPr>
          <w:color w:val="808080"/>
          <w:u w:color="808080"/>
        </w:rPr>
        <w:br w:type="page"/>
      </w:r>
    </w:p>
    <w:p w:rsidR="00D374FB" w:rsidRDefault="00CA0B19">
      <w:pPr>
        <w:pStyle w:val="Subtitle"/>
        <w:rPr>
          <w:b/>
          <w:bCs/>
          <w:i w:val="0"/>
          <w:iCs w:val="0"/>
          <w:color w:val="808080"/>
          <w:u w:color="808080"/>
        </w:rPr>
      </w:pPr>
      <w:r>
        <w:rPr>
          <w:b/>
          <w:bCs/>
          <w:i w:val="0"/>
          <w:iCs w:val="0"/>
          <w:color w:val="808080"/>
          <w:u w:color="808080"/>
        </w:rPr>
        <w:lastRenderedPageBreak/>
        <w:t>Plot 3:</w:t>
      </w:r>
    </w:p>
    <w:p w:rsidR="00D374FB" w:rsidRDefault="00CA0B19">
      <w:pPr>
        <w:pStyle w:val="Body"/>
      </w:pPr>
      <w:r>
        <w:rPr>
          <w:noProof/>
        </w:rPr>
        <w:drawing>
          <wp:inline distT="0" distB="0" distL="0" distR="0">
            <wp:extent cx="5943600" cy="4825365"/>
            <wp:effectExtent l="0" t="0" r="0" b="0"/>
            <wp:docPr id="1073741830" name="officeArt object" descr="Plot3.png"/>
            <wp:cNvGraphicFramePr/>
            <a:graphic xmlns:a="http://schemas.openxmlformats.org/drawingml/2006/main">
              <a:graphicData uri="http://schemas.openxmlformats.org/drawingml/2006/picture">
                <pic:pic xmlns:pic="http://schemas.openxmlformats.org/drawingml/2006/picture">
                  <pic:nvPicPr>
                    <pic:cNvPr id="1073741830" name="Plot3.png" descr="Plot3.png"/>
                    <pic:cNvPicPr>
                      <a:picLocks noChangeAspect="1"/>
                    </pic:cNvPicPr>
                  </pic:nvPicPr>
                  <pic:blipFill>
                    <a:blip r:embed="rId13">
                      <a:extLst/>
                    </a:blip>
                    <a:stretch>
                      <a:fillRect/>
                    </a:stretch>
                  </pic:blipFill>
                  <pic:spPr>
                    <a:xfrm>
                      <a:off x="0" y="0"/>
                      <a:ext cx="5943600" cy="4825365"/>
                    </a:xfrm>
                    <a:prstGeom prst="rect">
                      <a:avLst/>
                    </a:prstGeom>
                    <a:ln w="12700" cap="flat">
                      <a:noFill/>
                      <a:miter lim="400000"/>
                    </a:ln>
                    <a:effectLst/>
                  </pic:spPr>
                </pic:pic>
              </a:graphicData>
            </a:graphic>
          </wp:inline>
        </w:drawing>
      </w:r>
    </w:p>
    <w:p w:rsidR="00C978C1" w:rsidRPr="00055182" w:rsidRDefault="00AA3E47" w:rsidP="00AA3E47">
      <w:pPr>
        <w:pStyle w:val="Body"/>
        <w:numPr>
          <w:ilvl w:val="0"/>
          <w:numId w:val="6"/>
        </w:numPr>
        <w:rPr>
          <w:rFonts w:ascii="Cambria" w:eastAsia="Cambria" w:hAnsi="Cambria" w:cs="Cambria"/>
          <w:color w:val="808080"/>
          <w:spacing w:val="15"/>
          <w:sz w:val="24"/>
          <w:szCs w:val="24"/>
          <w:u w:color="808080"/>
        </w:rPr>
      </w:pPr>
      <w:r w:rsidRPr="00055182">
        <w:rPr>
          <w:rFonts w:ascii="Cambria" w:eastAsia="Cambria" w:hAnsi="Cambria" w:cs="Cambria"/>
          <w:color w:val="808080"/>
          <w:spacing w:val="15"/>
          <w:sz w:val="24"/>
          <w:szCs w:val="24"/>
          <w:u w:color="808080"/>
        </w:rPr>
        <w:t>As the weight of the data gets centralized, the difference between the mean and the median values thus, it is obvious that “</w:t>
      </w:r>
      <w:proofErr w:type="spellStart"/>
      <w:r w:rsidRPr="00055182">
        <w:rPr>
          <w:rFonts w:ascii="Cambria" w:eastAsia="Cambria" w:hAnsi="Cambria" w:cs="Cambria"/>
          <w:color w:val="808080"/>
          <w:spacing w:val="15"/>
          <w:sz w:val="24"/>
          <w:szCs w:val="24"/>
          <w:u w:color="808080"/>
        </w:rPr>
        <w:t>Anadarku</w:t>
      </w:r>
      <w:proofErr w:type="spellEnd"/>
      <w:r w:rsidRPr="00055182">
        <w:rPr>
          <w:rFonts w:ascii="Cambria" w:eastAsia="Cambria" w:hAnsi="Cambria" w:cs="Cambria"/>
          <w:color w:val="808080"/>
          <w:spacing w:val="15"/>
          <w:sz w:val="24"/>
          <w:szCs w:val="24"/>
          <w:u w:color="808080"/>
        </w:rPr>
        <w:t xml:space="preserve"> Basin” has the highest number of outliers followed by “Permian Basin”.</w:t>
      </w:r>
    </w:p>
    <w:p w:rsidR="00D374FB" w:rsidRDefault="00CA0B19" w:rsidP="00C978C1">
      <w:pPr>
        <w:pStyle w:val="Subtitle"/>
        <w:ind w:left="2880"/>
        <w:jc w:val="both"/>
      </w:pPr>
      <w:r>
        <w:br w:type="page"/>
      </w:r>
    </w:p>
    <w:p w:rsidR="00D374FB" w:rsidRDefault="00CA0B19">
      <w:pPr>
        <w:pStyle w:val="Subtitle"/>
        <w:rPr>
          <w:b/>
          <w:bCs/>
          <w:i w:val="0"/>
          <w:iCs w:val="0"/>
          <w:color w:val="808080"/>
          <w:u w:color="808080"/>
        </w:rPr>
      </w:pPr>
      <w:r>
        <w:rPr>
          <w:b/>
          <w:bCs/>
          <w:i w:val="0"/>
          <w:iCs w:val="0"/>
          <w:color w:val="808080"/>
          <w:u w:color="808080"/>
        </w:rPr>
        <w:lastRenderedPageBreak/>
        <w:t>Plot 4:</w:t>
      </w:r>
    </w:p>
    <w:p w:rsidR="00D374FB" w:rsidRDefault="00CA0B19">
      <w:pPr>
        <w:pStyle w:val="Body"/>
      </w:pPr>
      <w:r>
        <w:rPr>
          <w:noProof/>
        </w:rPr>
        <w:drawing>
          <wp:inline distT="0" distB="0" distL="0" distR="0">
            <wp:extent cx="5943600" cy="4762500"/>
            <wp:effectExtent l="0" t="0" r="0" b="0"/>
            <wp:docPr id="1073741831" name="officeArt object" descr="Plot4.png"/>
            <wp:cNvGraphicFramePr/>
            <a:graphic xmlns:a="http://schemas.openxmlformats.org/drawingml/2006/main">
              <a:graphicData uri="http://schemas.openxmlformats.org/drawingml/2006/picture">
                <pic:pic xmlns:pic="http://schemas.openxmlformats.org/drawingml/2006/picture">
                  <pic:nvPicPr>
                    <pic:cNvPr id="1073741831" name="Plot4.png" descr="Plot4.png"/>
                    <pic:cNvPicPr>
                      <a:picLocks noChangeAspect="1"/>
                    </pic:cNvPicPr>
                  </pic:nvPicPr>
                  <pic:blipFill>
                    <a:blip r:embed="rId14">
                      <a:extLst/>
                    </a:blip>
                    <a:stretch>
                      <a:fillRect/>
                    </a:stretch>
                  </pic:blipFill>
                  <pic:spPr>
                    <a:xfrm>
                      <a:off x="0" y="0"/>
                      <a:ext cx="5943600" cy="4762500"/>
                    </a:xfrm>
                    <a:prstGeom prst="rect">
                      <a:avLst/>
                    </a:prstGeom>
                    <a:ln w="12700" cap="flat">
                      <a:noFill/>
                      <a:miter lim="400000"/>
                    </a:ln>
                    <a:effectLst/>
                  </pic:spPr>
                </pic:pic>
              </a:graphicData>
            </a:graphic>
          </wp:inline>
        </w:drawing>
      </w:r>
    </w:p>
    <w:p w:rsidR="00D92B70" w:rsidRDefault="00D92B70" w:rsidP="00D92B70">
      <w:pPr>
        <w:pStyle w:val="Body"/>
        <w:numPr>
          <w:ilvl w:val="0"/>
          <w:numId w:val="6"/>
        </w:numPr>
      </w:pPr>
      <w:r>
        <w:t xml:space="preserve">Oil and gas production is always positively correlated. </w:t>
      </w:r>
      <w:r w:rsidR="00C81616">
        <w:t xml:space="preserve">Moreover, </w:t>
      </w:r>
      <w:r w:rsidR="004B7E61">
        <w:t>t</w:t>
      </w:r>
      <w:r>
        <w:t>he basins with outliers have smaller</w:t>
      </w:r>
      <w:r w:rsidR="00C81616">
        <w:t xml:space="preserve"> correlation coefficients. </w:t>
      </w:r>
      <w:r w:rsidR="004B7E61">
        <w:t>However, correlation doesn’t imply causation.</w:t>
      </w:r>
      <w:bookmarkStart w:id="0" w:name="_GoBack"/>
      <w:bookmarkEnd w:id="0"/>
    </w:p>
    <w:p w:rsidR="00D374FB" w:rsidRDefault="00CA0B19" w:rsidP="00D92B70">
      <w:pPr>
        <w:pStyle w:val="Subtitle"/>
        <w:numPr>
          <w:ilvl w:val="0"/>
          <w:numId w:val="6"/>
        </w:numPr>
      </w:pPr>
      <w:r>
        <w:br w:type="page"/>
      </w:r>
    </w:p>
    <w:p w:rsidR="00D374FB" w:rsidRDefault="00CA0B19">
      <w:pPr>
        <w:pStyle w:val="Subtitle"/>
      </w:pPr>
      <w:r>
        <w:rPr>
          <w:b/>
          <w:bCs/>
          <w:i w:val="0"/>
          <w:iCs w:val="0"/>
          <w:color w:val="808080"/>
          <w:u w:color="808080"/>
        </w:rPr>
        <w:lastRenderedPageBreak/>
        <w:t>Plot 5:</w:t>
      </w:r>
    </w:p>
    <w:sectPr w:rsidR="00D374FB">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B19" w:rsidRDefault="00CA0B19">
      <w:r>
        <w:separator/>
      </w:r>
    </w:p>
  </w:endnote>
  <w:endnote w:type="continuationSeparator" w:id="0">
    <w:p w:rsidR="00CA0B19" w:rsidRDefault="00CA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FB" w:rsidRDefault="00D374F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B19" w:rsidRDefault="00CA0B19">
      <w:r>
        <w:separator/>
      </w:r>
    </w:p>
  </w:footnote>
  <w:footnote w:type="continuationSeparator" w:id="0">
    <w:p w:rsidR="00CA0B19" w:rsidRDefault="00CA0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FB" w:rsidRDefault="00D374F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375"/>
    <w:multiLevelType w:val="hybridMultilevel"/>
    <w:tmpl w:val="A36AA3E6"/>
    <w:numStyleLink w:val="Bullets"/>
  </w:abstractNum>
  <w:abstractNum w:abstractNumId="1">
    <w:nsid w:val="03D06F5B"/>
    <w:multiLevelType w:val="hybridMultilevel"/>
    <w:tmpl w:val="31EC76C8"/>
    <w:numStyleLink w:val="ImportedStyle1"/>
  </w:abstractNum>
  <w:abstractNum w:abstractNumId="2">
    <w:nsid w:val="467B2E64"/>
    <w:multiLevelType w:val="hybridMultilevel"/>
    <w:tmpl w:val="BD9ED58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50CB4E1B"/>
    <w:multiLevelType w:val="hybridMultilevel"/>
    <w:tmpl w:val="3294A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53A03"/>
    <w:multiLevelType w:val="hybridMultilevel"/>
    <w:tmpl w:val="A36AA3E6"/>
    <w:styleLink w:val="Bullets"/>
    <w:lvl w:ilvl="0" w:tplc="52E8E0B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76C837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67028D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2388FA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DB4828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9DC4C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570EBE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F0E997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EF4173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E953D80"/>
    <w:multiLevelType w:val="hybridMultilevel"/>
    <w:tmpl w:val="31EC76C8"/>
    <w:styleLink w:val="ImportedStyle1"/>
    <w:lvl w:ilvl="0" w:tplc="3F2C005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B4498B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4484F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B2CE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6A6A1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482D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4E8A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B7A689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A9267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374FB"/>
    <w:rsid w:val="00055182"/>
    <w:rsid w:val="004B7E61"/>
    <w:rsid w:val="00AA3E47"/>
    <w:rsid w:val="00C81616"/>
    <w:rsid w:val="00C978C1"/>
    <w:rsid w:val="00CA0B19"/>
    <w:rsid w:val="00D374FB"/>
    <w:rsid w:val="00D92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Subtitle">
    <w:name w:val="Subtitle"/>
    <w:next w:val="Body"/>
    <w:pPr>
      <w:spacing w:after="200" w:line="276" w:lineRule="auto"/>
    </w:pPr>
    <w:rPr>
      <w:rFonts w:ascii="Cambria" w:eastAsia="Cambria" w:hAnsi="Cambria" w:cs="Cambria"/>
      <w:i/>
      <w:iCs/>
      <w:color w:val="4F81BD"/>
      <w:spacing w:val="15"/>
      <w:sz w:val="24"/>
      <w:szCs w:val="24"/>
      <w:u w:color="4F81BD"/>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styleId="BalloonText">
    <w:name w:val="Balloon Text"/>
    <w:basedOn w:val="Normal"/>
    <w:link w:val="BalloonTextChar"/>
    <w:uiPriority w:val="99"/>
    <w:semiHidden/>
    <w:unhideWhenUsed/>
    <w:rsid w:val="00C978C1"/>
    <w:rPr>
      <w:rFonts w:ascii="Tahoma" w:hAnsi="Tahoma" w:cs="Tahoma"/>
      <w:sz w:val="16"/>
      <w:szCs w:val="16"/>
    </w:rPr>
  </w:style>
  <w:style w:type="character" w:customStyle="1" w:styleId="BalloonTextChar">
    <w:name w:val="Balloon Text Char"/>
    <w:basedOn w:val="DefaultParagraphFont"/>
    <w:link w:val="BalloonText"/>
    <w:uiPriority w:val="99"/>
    <w:semiHidden/>
    <w:rsid w:val="00C978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Subtitle">
    <w:name w:val="Subtitle"/>
    <w:next w:val="Body"/>
    <w:pPr>
      <w:spacing w:after="200" w:line="276" w:lineRule="auto"/>
    </w:pPr>
    <w:rPr>
      <w:rFonts w:ascii="Cambria" w:eastAsia="Cambria" w:hAnsi="Cambria" w:cs="Cambria"/>
      <w:i/>
      <w:iCs/>
      <w:color w:val="4F81BD"/>
      <w:spacing w:val="15"/>
      <w:sz w:val="24"/>
      <w:szCs w:val="24"/>
      <w:u w:color="4F81BD"/>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styleId="BalloonText">
    <w:name w:val="Balloon Text"/>
    <w:basedOn w:val="Normal"/>
    <w:link w:val="BalloonTextChar"/>
    <w:uiPriority w:val="99"/>
    <w:semiHidden/>
    <w:unhideWhenUsed/>
    <w:rsid w:val="00C978C1"/>
    <w:rPr>
      <w:rFonts w:ascii="Tahoma" w:hAnsi="Tahoma" w:cs="Tahoma"/>
      <w:sz w:val="16"/>
      <w:szCs w:val="16"/>
    </w:rPr>
  </w:style>
  <w:style w:type="character" w:customStyle="1" w:styleId="BalloonTextChar">
    <w:name w:val="Balloon Text Char"/>
    <w:basedOn w:val="DefaultParagraphFont"/>
    <w:link w:val="BalloonText"/>
    <w:uiPriority w:val="99"/>
    <w:semiHidden/>
    <w:rsid w:val="00C978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cp:lastModifiedBy>
  <cp:revision>4</cp:revision>
  <dcterms:created xsi:type="dcterms:W3CDTF">2019-03-04T16:11:00Z</dcterms:created>
  <dcterms:modified xsi:type="dcterms:W3CDTF">2019-03-04T17:01:00Z</dcterms:modified>
</cp:coreProperties>
</file>