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testcompany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الثلاثاء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4/7/2017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4/7/2017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testcompany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1234567890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partner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partner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/auditor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manager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/manager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manager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4/7/2017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partner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auditor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partner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testcompany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1234567890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auditor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testcompany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new cairo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partner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testcompany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1234567890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