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jc w:val="center"/>
      </w:pPr>
      <w:r>
        <w:rPr>
          <w:rFonts w:ascii="Arial" w:cs="Arial" w:eastAsia="Arial" w:hAnsi="Arial"/>
          <w:color w:val="666666"/>
          <w:sz w:val="26"/>
          <w:szCs w:val="26"/>
          <w:rtl/>
        </w:rPr>
        <w:t xml:space="preserve">تقرير تقييم استثماري</w:t>
      </w:r>
    </w:p>
    <w:p>
      <w:pPr>
        <w:bidi/>
        <w:spacing w:after="120" w:before="120"/>
        <w:jc w:val="center"/>
      </w:pPr>
      <w:r>
        <w:rPr>
          <w:rFonts w:ascii="Arial" w:cs="Arial" w:eastAsia="Arial" w:hAnsi="Arial"/>
          <w:b/>
          <w:bCs/>
          <w:color w:val="1B2A4A"/>
          <w:sz w:val="52"/>
          <w:szCs w:val="52"/>
          <w:rtl/>
        </w:rPr>
        <w:t xml:space="preserve">مشروع رواق (Ruwaq)</w:t>
      </w:r>
    </w:p>
    <w:p>
      <w:pPr>
        <w:bidi/>
        <w:spacing w:after="300"/>
        <w:jc w:val="center"/>
      </w:pPr>
      <w:r>
        <w:rPr>
          <w:rFonts w:ascii="Arial" w:cs="Arial" w:eastAsia="Arial" w:hAnsi="Arial"/>
          <w:color w:val="B8862B"/>
          <w:sz w:val="24"/>
          <w:szCs w:val="24"/>
          <w:rtl/>
        </w:rPr>
        <w:t xml:space="preserve">منصة عروض عقارية احترافية بالذكاء الاصطناعي — ruwaq.co</w:t>
      </w:r>
    </w:p>
    <w:p>
      <w:pPr>
        <w:pBdr>
          <w:bottom w:val="single" w:color="B8862B" w:sz="10" w:space="8"/>
        </w:pBdr>
        <w:spacing w:after="300"/>
        <w:jc w:val="center"/>
      </w:pPr>
    </w:p>
    <w:p>
      <w:pPr>
        <w:bidi/>
        <w:spacing w:after="80"/>
        <w:jc w:val="center"/>
      </w:pPr>
      <w:r>
        <w:rPr>
          <w:rFonts w:ascii="Arial" w:cs="Arial" w:eastAsia="Arial" w:hAnsi="Arial"/>
          <w:color w:val="666666"/>
          <w:sz w:val="20"/>
          <w:szCs w:val="20"/>
          <w:rtl/>
        </w:rPr>
        <w:t xml:space="preserve">التاريخ: 2 يوليو 2026</w:t>
      </w:r>
    </w:p>
    <w:p>
      <w:pPr>
        <w:bidi/>
        <w:spacing w:after="80"/>
        <w:jc w:val="center"/>
      </w:pPr>
      <w:r>
        <w:rPr>
          <w:rFonts w:ascii="Arial" w:cs="Arial" w:eastAsia="Arial" w:hAnsi="Arial"/>
          <w:color w:val="666666"/>
          <w:sz w:val="20"/>
          <w:szCs w:val="20"/>
          <w:rtl/>
        </w:rPr>
        <w:t xml:space="preserve">المصادر: ruwaq.co · مستودع GitHub (meklads/ruwaq) · ملفات المشروع المحلية</w:t>
      </w:r>
    </w:p>
    <w:p>
      <w:r>
        <w:br w:type="page"/>
      </w:r>
    </w:p>
    <w:p>
      <w:pPr>
        <w:pStyle w:val="Heading1"/>
        <w:bidi/>
        <w:jc w:val="right"/>
      </w:pPr>
      <w:r>
        <w:rPr>
          <w:rtl/>
        </w:rPr>
        <w:t xml:space="preserve">1. نظرة عامة على المشروع</w:t>
      </w:r>
    </w:p>
    <w:p>
      <w:pPr>
        <w:pStyle w:val="Heading2"/>
        <w:bidi/>
        <w:jc w:val="right"/>
      </w:pPr>
      <w:r>
        <w:rPr>
          <w:rtl/>
        </w:rPr>
        <w:t xml:space="preserve">الفكرة والمشكلة</w:t>
      </w:r>
    </w:p>
    <w:p>
      <w:pPr>
        <w:bidi/>
        <w:spacing w:after="160" w:line="300"/>
        <w:jc w:val="right"/>
      </w:pPr>
      <w:r>
        <w:rPr>
          <w:rFonts w:ascii="Arial" w:cs="Arial" w:eastAsia="Arial" w:hAnsi="Arial"/>
          <w:b w:val="false"/>
          <w:bCs w:val="false"/>
          <w:sz w:val="22"/>
          <w:szCs w:val="22"/>
          <w:rtl/>
        </w:rPr>
        <w:t xml:space="preserve">رواق منصة سعودية تحوّل ثلاث معلومات فقط — اسم العميل، وصف العمل، والسعر أو تقدير أولي — إلى عرض تجاري احترافي جاهز خلال دقائق، موجّه لقطاع العقار والمقاولات في السعودية. المشكلة التي يعالجها حقيقية وملحّة: أغلب المقاولين والمكاتب الهندسية يرسلون عروضاً من ملفات Word قديمة، غير متسقة، وبدون افتراضات أو استثناءات واضحة، ما يفتح الباب أمام نزاعات لاحقة مع العميل ويكلّف ساعتين أو أكثر لكل عرض.</w:t>
      </w:r>
    </w:p>
    <w:p>
      <w:pPr>
        <w:pStyle w:val="Heading2"/>
        <w:bidi/>
        <w:jc w:val="right"/>
      </w:pPr>
      <w:r>
        <w:rPr>
          <w:rtl/>
        </w:rPr>
        <w:t xml:space="preserve">المنتج الحالي</w:t>
      </w:r>
    </w:p>
    <w:p>
      <w:pPr>
        <w:bidi/>
        <w:spacing w:after="160" w:line="300"/>
        <w:jc w:val="right"/>
      </w:pPr>
      <w:r>
        <w:rPr>
          <w:rFonts w:ascii="Arial" w:cs="Arial" w:eastAsia="Arial" w:hAnsi="Arial"/>
          <w:b w:val="false"/>
          <w:bCs w:val="false"/>
          <w:sz w:val="22"/>
          <w:szCs w:val="22"/>
          <w:rtl/>
        </w:rPr>
        <w:t xml:space="preserve">الموقع الحي (ruwaq.co) يعمل بدون حساب وبدون بطاقة ائتمان: يكتب المستخدم بياناته الثلاث، يولّد الذكاء الاصطناعي نطاق عمل كاملاً من 11 طبقة (هوية الشركة، الفهم، النطاق، المخرجات، العرض التجاري، شروط الدفع، الجدول الزمني، الافتراضات، الاستثناءات، الصلاحية)، ثم يصدّر المستخدم PDF باسم شركته. يضم المنتج أيضاً حزمة بنود معتمدة مسبقاً ومرتبطة بمراجع رسمية (كود البناء السعودي SBC، ضريبة القيمة المضافة ZATCA، اشتراطات البلدية) تحمي المقاول من النزاعات.</w:t>
      </w:r>
    </w:p>
    <w:p>
      <w:pPr>
        <w:pStyle w:val="Heading2"/>
        <w:bidi/>
        <w:jc w:val="right"/>
      </w:pPr>
      <w:r>
        <w:rPr>
          <w:rtl/>
        </w:rPr>
        <w:t xml:space="preserve">الوضع الفني الحالي</w:t>
      </w:r>
    </w:p>
    <w:p>
      <w:pPr>
        <w:bidi/>
        <w:spacing w:after="160" w:line="300"/>
        <w:jc w:val="right"/>
      </w:pPr>
      <w:r>
        <w:rPr>
          <w:rFonts w:ascii="Arial" w:cs="Arial" w:eastAsia="Arial" w:hAnsi="Arial"/>
          <w:b w:val="false"/>
          <w:bCs w:val="false"/>
          <w:sz w:val="22"/>
          <w:szCs w:val="22"/>
          <w:rtl/>
        </w:rPr>
        <w:t xml:space="preserve">الفحص المباشر لكود المشروع (93 التزام Git خلال أقل من أسبوعين) يُظهر أن التنفيذ تجاوز خطة الإطلاق الأولية المكوّنة من 7 أيام بشكل ملحوظ. إلى جانب التدفق الأساسي (نموذج → توليد بالذكاء الاصطناعي → مراجعة → PDF)، بُنيت طبقة إضافية تحت اسم "Trust Layer" تضم:</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محرك جدول كميات ذكي (Smart BOQ) يوزّع السعر الإجمالي على 8–15 بنداً تلقائياً مع إعادة توزيع نسبي عند التعديل.</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مكتبة بنود قانونية/تعاقدية مصنّفة حسب نوع المشروع (تشطيب، إشراف، صيانة) مع قواعد تفعيل تلقائية.</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غرفة عرض حية (Live Room): رابط ويب للعميل مع موافقة ناعمة (اسم، تاريخ، IP)، تتبع مدة القراءة لكل قسم، وطلبات تعديل.</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دعم كامل للعربية والإنجليزية مع RTL، ومصادقة اختيارية عبر Google.</w:t>
      </w:r>
    </w:p>
    <w:p>
      <w:pPr>
        <w:bidi/>
        <w:spacing w:after="160" w:line="300"/>
        <w:jc w:val="right"/>
      </w:pPr>
      <w:r>
        <w:rPr>
          <w:rFonts w:ascii="Arial" w:cs="Arial" w:eastAsia="Arial" w:hAnsi="Arial"/>
          <w:b w:val="false"/>
          <w:bCs w:val="false"/>
          <w:sz w:val="22"/>
          <w:szCs w:val="22"/>
          <w:rtl/>
        </w:rPr>
        <w:t xml:space="preserve">البنية التقنية: Next.js 14 (TypeScript) · Prisma + PostgreSQL · OpenAI للتوليد (مع بيانات وهمية عند غياب المفتاح) · Auth.js · نشر ذاتي عبر Coolify. الاعتماديات تتضمن Stripe لكنه غير مُفعّل فعلياً، ولا توجد بوابة دفع سعودية (Moyasar/Tap/HyperPay) في الكود حتى تاريخه.</w:t>
      </w:r>
    </w:p>
    <w:p>
      <w:pPr>
        <w:pStyle w:val="Heading2"/>
        <w:bidi/>
        <w:jc w:val="right"/>
      </w:pPr>
      <w:r>
        <w:rPr>
          <w:rtl/>
        </w:rPr>
        <w:t xml:space="preserve">النموذج التجاري والجهة الراعية</w:t>
      </w:r>
    </w:p>
    <w:p>
      <w:pPr>
        <w:bidi/>
        <w:spacing w:after="160" w:line="300"/>
        <w:jc w:val="right"/>
      </w:pPr>
      <w:r>
        <w:rPr>
          <w:rFonts w:ascii="Arial" w:cs="Arial" w:eastAsia="Arial" w:hAnsi="Arial"/>
          <w:b w:val="false"/>
          <w:bCs w:val="false"/>
          <w:sz w:val="22"/>
          <w:szCs w:val="22"/>
          <w:rtl/>
        </w:rPr>
        <w:t xml:space="preserve">رواق "برعاية Graphics House" — شركة تصور معماري ثلاثي الأبعاد مقرّها جدة (نفس مجال عمل صاحب الحساب). صفحة "الخدمات" على الموقع تعرض خدمات هوية بصرية، تصميم عروض، ومواقع، عبر التواصل اليدوي بالبريد — لا يوجد بعد مسار بيع تلقائي داخل تدفق المنتج. لا توجد صفحة تسعير حية، ولا خطط اشتراك مفعّلة رغم أن وثائق المنتج الداخلية (PRD) تقترح مستويات عند 49 / 119 / 299 ريال شهرياً.</w:t>
      </w:r>
    </w:p>
    <w:p>
      <w:r>
        <w:br w:type="page"/>
      </w:r>
    </w:p>
    <w:p>
      <w:pPr>
        <w:pStyle w:val="Heading1"/>
        <w:bidi/>
        <w:jc w:val="right"/>
      </w:pPr>
      <w:r>
        <w:rPr>
          <w:rtl/>
        </w:rPr>
        <w:t xml:space="preserve">2. التقييم</w:t>
      </w:r>
    </w:p>
    <w:p>
      <w:pPr>
        <w:pStyle w:val="Heading2"/>
        <w:bidi/>
        <w:jc w:val="right"/>
      </w:pPr>
      <w:r>
        <w:rPr>
          <w:rtl/>
        </w:rPr>
        <w:t xml:space="preserve">2.1 نقاط القوة</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مشكلة حقيقية وملحّة بألم واضح: وقت ضائع (ساعتان فأكثر لكل عرض) وخسارة صفقات بسبب عروض غير احترافية أو غامضة.</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تخصيص محلي عميق يصعب على المنافسين العالميين (PandaDoc, Qwilr, Proposify) تقليده بسرعة: عربي RTL كامل، مراجع SBC وZATCA والبلدية، وتسعير بالريال.</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احتكاك دخول منخفض جداً — بدون حساب وبدون بطاقة — مناسب لنمو سريع عبر التجربة المباشرة والانتشار عبر واتساب.</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تنفيذ تقني ناضج يتجاوز مرحلة الفكرة: التدفق الأساسي يعمل فعلياً على نطاق حي، مع طبقة حماية قانونية (البنود المعتمدة) تمثل ميزة تفاضلية حقيقية وليست مجرد "مولّد PDF".</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سرعة تنفيذ عالية وتكلفة تطوير منخفضة (تطوير شبه فردي بمساعدة أدوات الذكاء الاصطناعي — 93 التزاماً خلال أقل من أسبوعين).</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مسار دخل تكميلي جاهز فعلياً عبر Graphics House (رندر ثلاثي الأبعاد، هوية بصرية، مواقع) — يمكن أن يولّد كاش فلو أسرع من انتظار نضوج اشتراكات SaaS.</w:t>
      </w:r>
    </w:p>
    <w:p>
      <w:pPr>
        <w:pStyle w:val="Heading2"/>
        <w:bidi/>
        <w:jc w:val="right"/>
      </w:pPr>
      <w:r>
        <w:rPr>
          <w:rtl/>
        </w:rPr>
        <w:t xml:space="preserve">2.2 نقاط الضعف والفجوات</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لا يوجد تحقيق دخل فعلي حتى الآن: الاستخدام مجاني بالكامل، بدون حدود، بدون بوابة دفع مفعّلة — يتعارض مباشرة مع هدف "الكاش فلو السريع" المعلن.</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Stripe (الاعتمادية الموجودة في الكود) غير مناسبة عملياً للسوق السعودي لأنها لا تدعم مدى (Mada) مباشرة؛ السوق يحتاج Moyasar أو Tap أو HyperPay.</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توسّع في النطاق قبل التحقق من الطلب المدفوع (scope creep): بُنيت ميزات متقدمة (BOQ، مكتبة بنود، غرفة عرض حية بتحليلات) قبل إثبات أن مستخدماً واحداً سيدفع مقابل المنتج الأساسي.</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غياب الحساب الإلزامي يسهّل الاستخدام لكنه يُصعّب تتبع المستخدمين وإعادة الاستهداف والتحويل إلى عملاء مدفوعين لاحقاً.</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لا اختبارات آلية موثقة (تم تأجيلها عمداً في خطة الـ MVP)، ولا مراقبة أخطاء (Sentry) أو نسخ احتياطي لقاعدة البيانات موثّقين — مخاطرة تشغيلية عند نمو الاستخدام.</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التخزين السحابي للملفات (شعارات الشركات، PDF) غير مُفعّل فعلياً حسب متغيرات البيئة — قد يعني فقدان بيانات أو محدودية إنتاجية.</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الاعتماد على مطوّر واحد (مخاطرة "الشخص الرئيسي") وعلى جهة راعية واحدة لتحقيق الدخل التكميلي.</w:t>
      </w:r>
    </w:p>
    <w:p>
      <w:pPr>
        <w:pStyle w:val="Heading2"/>
        <w:bidi/>
        <w:jc w:val="right"/>
      </w:pPr>
      <w:r>
        <w:rPr>
          <w:rtl/>
        </w:rPr>
        <w:t xml:space="preserve">2.3 المخاطر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100"/>
        <w:gridCol w:w="2960"/>
      </w:tblGrid>
      <w:tr>
        <w:trPr>
          <w:tblHeader/>
        </w:trPr>
        <w:tc>
          <w:tcPr>
            <w:tcW w:type="dxa" w:w="430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المخاطرة</w:t>
            </w:r>
          </w:p>
        </w:tc>
        <w:tc>
          <w:tcPr>
            <w:tcW w:type="dxa" w:w="210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مستوى الخطورة</w:t>
            </w:r>
          </w:p>
        </w:tc>
        <w:tc>
          <w:tcPr>
            <w:tcW w:type="dxa" w:w="296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الأثر المحتمل</w:t>
            </w:r>
          </w:p>
        </w:tc>
      </w:tr>
      <w:tr>
        <w:tc>
          <w:tcPr>
            <w:tcW w:type="dxa" w:w="43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مستودع GitHub عام (Public) يعرض كامل استراتيجية المنتج، التسعير، وتحليل المنافسين مجاناً لأي زائر</w:t>
            </w:r>
          </w:p>
        </w:tc>
        <w:tc>
          <w:tcPr>
            <w:tcW w:type="dxa" w:w="21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عالية جداً وعاجلة</w:t>
            </w:r>
          </w:p>
        </w:tc>
        <w:tc>
          <w:tcPr>
            <w:tcW w:type="dxa" w:w="29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نسخ الاستراتيجية من منافس محلي بلا أي تكلفة بحث وتطوير</w:t>
            </w:r>
          </w:p>
        </w:tc>
      </w:tr>
      <w:tr>
        <w:tc>
          <w:tcPr>
            <w:tcW w:type="dxa" w:w="43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مكتبة البنود تشير لأكواد ولوائح رسمية (SBC / ZATCA / بلدي) قد تصبح غير دقيقة أو قديمة</w:t>
            </w:r>
          </w:p>
        </w:tc>
        <w:tc>
          <w:tcPr>
            <w:tcW w:type="dxa" w:w="21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متوسطة إلى عالية</w:t>
            </w:r>
          </w:p>
        </w:tc>
        <w:tc>
          <w:tcPr>
            <w:tcW w:type="dxa" w:w="296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مسؤولية قانونية محتملة على رواق والمستخدم رغم إخلاء المسؤولية</w:t>
            </w:r>
          </w:p>
        </w:tc>
      </w:tr>
      <w:tr>
        <w:tc>
          <w:tcPr>
            <w:tcW w:type="dxa" w:w="43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اعتماد كامل على OpenAI كخدمة خارجية وحيدة للتوليد</w:t>
            </w:r>
          </w:p>
        </w:tc>
        <w:tc>
          <w:tcPr>
            <w:tcW w:type="dxa" w:w="21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متوسطة</w:t>
            </w:r>
          </w:p>
        </w:tc>
        <w:tc>
          <w:tcPr>
            <w:tcW w:type="dxa" w:w="29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تعطل الخدمة أو ارتفاع التكلفة يوقف المنتج بالكامل</w:t>
            </w:r>
          </w:p>
        </w:tc>
      </w:tr>
      <w:tr>
        <w:tc>
          <w:tcPr>
            <w:tcW w:type="dxa" w:w="43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لا نسخ احتياطي أو مراقبة أخطاء موثّقة</w:t>
            </w:r>
          </w:p>
        </w:tc>
        <w:tc>
          <w:tcPr>
            <w:tcW w:type="dxa" w:w="21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متوسطة</w:t>
            </w:r>
          </w:p>
        </w:tc>
        <w:tc>
          <w:tcPr>
            <w:tcW w:type="dxa" w:w="296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فقدان بيانات المستخدمين أو تعطل غير مكتشف عند النمو</w:t>
            </w:r>
          </w:p>
        </w:tc>
      </w:tr>
      <w:tr>
        <w:tc>
          <w:tcPr>
            <w:tcW w:type="dxa" w:w="43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مطوّر واحد + جهة راعية واحدة</w:t>
            </w:r>
          </w:p>
        </w:tc>
        <w:tc>
          <w:tcPr>
            <w:tcW w:type="dxa" w:w="21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متوسطة</w:t>
            </w:r>
          </w:p>
        </w:tc>
        <w:tc>
          <w:tcPr>
            <w:tcW w:type="dxa" w:w="29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توقف التطوير أو مصدر الدخل التكميلي عند أي انقطاع</w:t>
            </w:r>
          </w:p>
        </w:tc>
      </w:tr>
    </w:tbl>
    <w:p>
      <w:pPr>
        <w:spacing w:after="160"/>
      </w:pPr>
    </w:p>
    <w:p>
      <w:pPr>
        <w:pStyle w:val="Heading2"/>
        <w:bidi/>
        <w:jc w:val="right"/>
      </w:pPr>
      <w:r>
        <w:rPr>
          <w:rtl/>
        </w:rPr>
        <w:t xml:space="preserve">2.4 الفرصة السوقية</w:t>
      </w:r>
    </w:p>
    <w:p>
      <w:pPr>
        <w:bidi/>
        <w:spacing w:after="160" w:line="300"/>
        <w:jc w:val="right"/>
      </w:pPr>
      <w:r>
        <w:rPr>
          <w:rFonts w:ascii="Arial" w:cs="Arial" w:eastAsia="Arial" w:hAnsi="Arial"/>
          <w:b w:val="false"/>
          <w:bCs w:val="false"/>
          <w:sz w:val="22"/>
          <w:szCs w:val="22"/>
          <w:rtl/>
        </w:rPr>
        <w:t xml:space="preserve">القطاعات المستهدفة (مقاولون، مكاتب هندسية، استشاريون، صيانة، وكالات) تضم عشرات الآلاف من المنشآت الصغيرة والمتوسطة في السعودية، في سوق عقاري في نمو مدفوع برؤية 2030 ومشاريع الإسكان. نموذج "مجاني للبدء" مناسب لاختراق السوق سريعاً، لكنه يحتاج مساراً واضحاً وسريعاً للتحويل إلى دخل حتى يحقق الهدف المعلن للمشروع.</w:t>
      </w:r>
    </w:p>
    <w:p>
      <w:r>
        <w:br w:type="page"/>
      </w:r>
    </w:p>
    <w:p>
      <w:pPr>
        <w:pStyle w:val="Heading1"/>
        <w:bidi/>
        <w:jc w:val="right"/>
      </w:pPr>
      <w:r>
        <w:rPr>
          <w:rtl/>
        </w:rPr>
        <w:t xml:space="preserve">3. وسائل التطوير — توصيات مرتّبة بالأولوية</w:t>
      </w:r>
    </w:p>
    <w:p>
      <w:pPr>
        <w:pStyle w:val="Heading2"/>
        <w:bidi/>
        <w:jc w:val="right"/>
      </w:pPr>
      <w:r>
        <w:rPr>
          <w:rtl/>
        </w:rPr>
        <w:t xml:space="preserve">فوري (هذا الأسبوع)</w:t>
      </w:r>
    </w:p>
    <w:p>
      <w:pPr>
        <w:pStyle w:val="ListParagraph"/>
        <w:numPr>
          <w:ilvl w:val="0"/>
          <w:numId w:val="3"/>
        </w:numPr>
        <w:bidi/>
        <w:spacing w:after="100" w:line="300"/>
        <w:jc w:val="right"/>
      </w:pPr>
      <w:r>
        <w:rPr>
          <w:rFonts w:ascii="Arial" w:cs="Arial" w:eastAsia="Arial" w:hAnsi="Arial"/>
          <w:sz w:val="22"/>
          <w:szCs w:val="22"/>
          <w:rtl/>
        </w:rPr>
        <w:t xml:space="preserve">تحويل مستودع GitHub إلى خاص (Private) فوراً — أعلى أولوية، لأن الاستراتيجية الكاملة مكشوفة مجاناً حالياً.</w:t>
      </w:r>
    </w:p>
    <w:p>
      <w:pPr>
        <w:pStyle w:val="ListParagraph"/>
        <w:numPr>
          <w:ilvl w:val="0"/>
          <w:numId w:val="3"/>
        </w:numPr>
        <w:bidi/>
        <w:spacing w:after="100" w:line="300"/>
        <w:jc w:val="right"/>
      </w:pPr>
      <w:r>
        <w:rPr>
          <w:rFonts w:ascii="Arial" w:cs="Arial" w:eastAsia="Arial" w:hAnsi="Arial"/>
          <w:sz w:val="22"/>
          <w:szCs w:val="22"/>
          <w:rtl/>
        </w:rPr>
        <w:t xml:space="preserve">دمج بوابة دفع سعودية فعلية (Moyasar أو Tap أو HyperPay) تدعم مدى، بدلاً من الاعتماد فقط على Stripe.</w:t>
      </w:r>
    </w:p>
    <w:p>
      <w:pPr>
        <w:pStyle w:val="ListParagraph"/>
        <w:numPr>
          <w:ilvl w:val="0"/>
          <w:numId w:val="3"/>
        </w:numPr>
        <w:bidi/>
        <w:spacing w:after="100" w:line="300"/>
        <w:jc w:val="right"/>
      </w:pPr>
      <w:r>
        <w:rPr>
          <w:rFonts w:ascii="Arial" w:cs="Arial" w:eastAsia="Arial" w:hAnsi="Arial"/>
          <w:sz w:val="22"/>
          <w:szCs w:val="22"/>
          <w:rtl/>
        </w:rPr>
        <w:t xml:space="preserve">تفعيل حد استخدام مجاني بسيط (مثلاً 3 عروض شهرياً) مع خيار مدفوع أول بسيط: إزالة العلامة المائية + هوية الشركة الكاملة.</w:t>
      </w:r>
    </w:p>
    <w:p>
      <w:pPr>
        <w:pStyle w:val="ListParagraph"/>
        <w:numPr>
          <w:ilvl w:val="0"/>
          <w:numId w:val="3"/>
        </w:numPr>
        <w:bidi/>
        <w:spacing w:after="100" w:line="300"/>
        <w:jc w:val="right"/>
      </w:pPr>
      <w:r>
        <w:rPr>
          <w:rFonts w:ascii="Arial" w:cs="Arial" w:eastAsia="Arial" w:hAnsi="Arial"/>
          <w:sz w:val="22"/>
          <w:szCs w:val="22"/>
          <w:rtl/>
        </w:rPr>
        <w:t xml:space="preserve">طلب مراجعة قانونية سريعة لمحتوى مكتبة البنود من محامٍ متخصص بعقود المقاولات السعودية.</w:t>
      </w:r>
    </w:p>
    <w:p>
      <w:pPr>
        <w:pStyle w:val="ListParagraph"/>
        <w:numPr>
          <w:ilvl w:val="0"/>
          <w:numId w:val="3"/>
        </w:numPr>
        <w:bidi/>
        <w:spacing w:after="100" w:line="300"/>
        <w:jc w:val="right"/>
      </w:pPr>
      <w:r>
        <w:rPr>
          <w:rFonts w:ascii="Arial" w:cs="Arial" w:eastAsia="Arial" w:hAnsi="Arial"/>
          <w:sz w:val="22"/>
          <w:szCs w:val="22"/>
          <w:rtl/>
        </w:rPr>
        <w:t xml:space="preserve">تفعيل دعوة "احصل على تصميم احترافي من Graphics House" مباشرة داخل تدفق المنتج بعد تصدير PDF — موجودة في الوثائق الداخلية لكن غير مفعّلة على الموقع الحي.</w:t>
      </w:r>
    </w:p>
    <w:p>
      <w:pPr>
        <w:pStyle w:val="Heading2"/>
        <w:bidi/>
        <w:jc w:val="right"/>
      </w:pPr>
      <w:r>
        <w:rPr>
          <w:rtl/>
        </w:rPr>
        <w:t xml:space="preserve">قصير المدى (2–4 أسابيع)</w:t>
      </w:r>
    </w:p>
    <w:p>
      <w:pPr>
        <w:pStyle w:val="ListParagraph"/>
        <w:numPr>
          <w:ilvl w:val="0"/>
          <w:numId w:val="3"/>
        </w:numPr>
        <w:bidi/>
        <w:spacing w:after="100" w:line="300"/>
        <w:jc w:val="right"/>
      </w:pPr>
      <w:r>
        <w:rPr>
          <w:rFonts w:ascii="Arial" w:cs="Arial" w:eastAsia="Arial" w:hAnsi="Arial"/>
          <w:sz w:val="22"/>
          <w:szCs w:val="22"/>
          <w:rtl/>
        </w:rPr>
        <w:t xml:space="preserve">تجميد أي ميزات جديدة في "طبقة الثقة" (تحليلات متقدمة، BOQ إضافي) حتى التحقق من وجود طلب مدفوع فعلي.</w:t>
      </w:r>
    </w:p>
    <w:p>
      <w:pPr>
        <w:pStyle w:val="ListParagraph"/>
        <w:numPr>
          <w:ilvl w:val="0"/>
          <w:numId w:val="3"/>
        </w:numPr>
        <w:bidi/>
        <w:spacing w:after="100" w:line="300"/>
        <w:jc w:val="right"/>
      </w:pPr>
      <w:r>
        <w:rPr>
          <w:rFonts w:ascii="Arial" w:cs="Arial" w:eastAsia="Arial" w:hAnsi="Arial"/>
          <w:sz w:val="22"/>
          <w:szCs w:val="22"/>
          <w:rtl/>
        </w:rPr>
        <w:t xml:space="preserve">تفعيل تتبع تحليلي أساسي لقمع التحويل: عدد العروض المُنشأة، عدد PDF المصدّرة، معدل التحويل لدفع.</w:t>
      </w:r>
    </w:p>
    <w:p>
      <w:pPr>
        <w:pStyle w:val="ListParagraph"/>
        <w:numPr>
          <w:ilvl w:val="0"/>
          <w:numId w:val="3"/>
        </w:numPr>
        <w:bidi/>
        <w:spacing w:after="100" w:line="300"/>
        <w:jc w:val="right"/>
      </w:pPr>
      <w:r>
        <w:rPr>
          <w:rFonts w:ascii="Arial" w:cs="Arial" w:eastAsia="Arial" w:hAnsi="Arial"/>
          <w:sz w:val="22"/>
          <w:szCs w:val="22"/>
          <w:rtl/>
        </w:rPr>
        <w:t xml:space="preserve">تفعيل نسخ احتياطي دوري لقاعدة البيانات ومراقبة أخطاء (Sentry أو ما يعادله) قبل التوسع في اكتساب المستخدمين.</w:t>
      </w:r>
    </w:p>
    <w:p>
      <w:pPr>
        <w:pStyle w:val="ListParagraph"/>
        <w:numPr>
          <w:ilvl w:val="0"/>
          <w:numId w:val="3"/>
        </w:numPr>
        <w:bidi/>
        <w:spacing w:after="100" w:line="300"/>
        <w:jc w:val="right"/>
      </w:pPr>
      <w:r>
        <w:rPr>
          <w:rFonts w:ascii="Arial" w:cs="Arial" w:eastAsia="Arial" w:hAnsi="Arial"/>
          <w:sz w:val="22"/>
          <w:szCs w:val="22"/>
          <w:rtl/>
        </w:rPr>
        <w:t xml:space="preserve">تفعيل تخزين سحابي فعلي (Cloudflare R2 أو S3) للشعارات وملفات PDF.</w:t>
      </w:r>
    </w:p>
    <w:p>
      <w:pPr>
        <w:pStyle w:val="ListParagraph"/>
        <w:numPr>
          <w:ilvl w:val="0"/>
          <w:numId w:val="3"/>
        </w:numPr>
        <w:bidi/>
        <w:spacing w:after="100" w:line="300"/>
        <w:jc w:val="right"/>
      </w:pPr>
      <w:r>
        <w:rPr>
          <w:rFonts w:ascii="Arial" w:cs="Arial" w:eastAsia="Arial" w:hAnsi="Arial"/>
          <w:sz w:val="22"/>
          <w:szCs w:val="22"/>
          <w:rtl/>
        </w:rPr>
        <w:t xml:space="preserve">تحسين قناة واتساب: رابط مشاركة وتتبع فتح مباشر عبر واتساب، لأنها القناة الأساسية لشخصية العميل المستهدف (مقاول يعمل من هاتفه طوال اليوم).</w:t>
      </w:r>
    </w:p>
    <w:p>
      <w:pPr>
        <w:pStyle w:val="Heading2"/>
        <w:bidi/>
        <w:jc w:val="right"/>
      </w:pPr>
      <w:r>
        <w:rPr>
          <w:rtl/>
        </w:rPr>
        <w:t xml:space="preserve">متوسط المدى (شهر 1–3)</w:t>
      </w:r>
    </w:p>
    <w:p>
      <w:pPr>
        <w:pStyle w:val="ListParagraph"/>
        <w:numPr>
          <w:ilvl w:val="0"/>
          <w:numId w:val="3"/>
        </w:numPr>
        <w:bidi/>
        <w:spacing w:after="100" w:line="300"/>
        <w:jc w:val="right"/>
      </w:pPr>
      <w:r>
        <w:rPr>
          <w:rFonts w:ascii="Arial" w:cs="Arial" w:eastAsia="Arial" w:hAnsi="Arial"/>
          <w:sz w:val="22"/>
          <w:szCs w:val="22"/>
          <w:rtl/>
        </w:rPr>
        <w:t xml:space="preserve">تفعيل خطط الاشتراك الكاملة (المقترحة: 49 / 119 / 299 ريال شهرياً) بعد التحقق من رغبة الدفع الفعلية من المستخدمين الأوائل.</w:t>
      </w:r>
    </w:p>
    <w:p>
      <w:pPr>
        <w:pStyle w:val="ListParagraph"/>
        <w:numPr>
          <w:ilvl w:val="0"/>
          <w:numId w:val="3"/>
        </w:numPr>
        <w:bidi/>
        <w:spacing w:after="100" w:line="300"/>
        <w:jc w:val="right"/>
      </w:pPr>
      <w:r>
        <w:rPr>
          <w:rFonts w:ascii="Arial" w:cs="Arial" w:eastAsia="Arial" w:hAnsi="Arial"/>
          <w:sz w:val="22"/>
          <w:szCs w:val="22"/>
          <w:rtl/>
        </w:rPr>
        <w:t xml:space="preserve">توسيع القوالب الصناعية (تشطيب، إشراف، صيانة، تسويق) بناءً على بيانات الاستخدام الفعلي وليس افتراضات مسبقة.</w:t>
      </w:r>
    </w:p>
    <w:p>
      <w:pPr>
        <w:pStyle w:val="ListParagraph"/>
        <w:numPr>
          <w:ilvl w:val="0"/>
          <w:numId w:val="3"/>
        </w:numPr>
        <w:bidi/>
        <w:spacing w:after="100" w:line="300"/>
        <w:jc w:val="right"/>
      </w:pPr>
      <w:r>
        <w:rPr>
          <w:rFonts w:ascii="Arial" w:cs="Arial" w:eastAsia="Arial" w:hAnsi="Arial"/>
          <w:sz w:val="22"/>
          <w:szCs w:val="22"/>
          <w:rtl/>
        </w:rPr>
        <w:t xml:space="preserve">توثيق اختبارات آلية أساسية (E2E) لأهم مسار: تسجيل → إنشاء عرض → توليد → تصدير PDF.</w:t>
      </w:r>
    </w:p>
    <w:p>
      <w:pPr>
        <w:pStyle w:val="ListParagraph"/>
        <w:numPr>
          <w:ilvl w:val="0"/>
          <w:numId w:val="3"/>
        </w:numPr>
        <w:bidi/>
        <w:spacing w:after="100" w:line="300"/>
        <w:jc w:val="right"/>
      </w:pPr>
      <w:r>
        <w:rPr>
          <w:rFonts w:ascii="Arial" w:cs="Arial" w:eastAsia="Arial" w:hAnsi="Arial"/>
          <w:sz w:val="22"/>
          <w:szCs w:val="22"/>
          <w:rtl/>
        </w:rPr>
        <w:t xml:space="preserve">تقييم إضافة شريك تقني ثانٍ لتقليل مخاطرة "الشخص الرئيسي".</w:t>
      </w:r>
    </w:p>
    <w:p>
      <w:r>
        <w:br w:type="page"/>
      </w:r>
    </w:p>
    <w:p>
      <w:pPr>
        <w:pStyle w:val="Heading1"/>
        <w:bidi/>
        <w:jc w:val="right"/>
      </w:pPr>
      <w:r>
        <w:rPr>
          <w:rtl/>
        </w:rPr>
        <w:t xml:space="preserve">4. خطة النشر والتنفيذ</w:t>
      </w:r>
    </w:p>
    <w:p>
      <w:pPr>
        <w:bidi/>
        <w:spacing w:after="160" w:line="300"/>
        <w:jc w:val="right"/>
      </w:pPr>
      <w:r>
        <w:rPr>
          <w:rFonts w:ascii="Arial" w:cs="Arial" w:eastAsia="Arial" w:hAnsi="Arial"/>
          <w:b w:val="false"/>
          <w:bCs w:val="false"/>
          <w:sz w:val="22"/>
          <w:szCs w:val="22"/>
          <w:rtl/>
        </w:rPr>
        <w:t xml:space="preserve">الخطة مبنية على أربع مراحل، بالتوازي مع مبدأ "الكاش فلو السريع": تأمين المشروع أولاً، ثم تفعيل الدخل بأسرع طريقة ممكنة (البيع التكميلي عبر Graphics House + بوابة دفع محلية)، قبل التوسع في التوزيع والميزات.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4200"/>
        <w:gridCol w:w="1800"/>
      </w:tblGrid>
      <w:tr>
        <w:trPr>
          <w:tblHeader/>
        </w:trPr>
        <w:tc>
          <w:tcPr>
            <w:tcW w:type="dxa" w:w="200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المرحلة</w:t>
            </w:r>
          </w:p>
        </w:tc>
        <w:tc>
          <w:tcPr>
            <w:tcW w:type="dxa" w:w="136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المدة</w:t>
            </w:r>
          </w:p>
        </w:tc>
        <w:tc>
          <w:tcPr>
            <w:tcW w:type="dxa" w:w="420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الأهداف الرئيسية</w:t>
            </w:r>
          </w:p>
        </w:tc>
        <w:tc>
          <w:tcPr>
            <w:tcW w:type="dxa" w:w="1800"/>
            <w:tcBorders>
              <w:top w:val="single" w:color="D9DCE1" w:sz="4"/>
              <w:left w:val="single" w:color="D9DCE1" w:sz="4"/>
              <w:bottom w:val="single" w:color="D9DCE1" w:sz="4"/>
              <w:right w:val="single" w:color="D9DCE1" w:sz="4"/>
            </w:tcBorders>
            <w:shd w:fill="1B2A4A"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مؤشر النجاح</w:t>
            </w:r>
          </w:p>
        </w:tc>
      </w:tr>
      <w:tr>
        <w:tc>
          <w:tcPr>
            <w:tcW w:type="dxa" w:w="20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0 — التأمين والجاهزية</w:t>
            </w:r>
          </w:p>
        </w:tc>
        <w:tc>
          <w:tcPr>
            <w:tcW w:type="dxa" w:w="13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أسبوع 1</w:t>
            </w:r>
          </w:p>
        </w:tc>
        <w:tc>
          <w:tcPr>
            <w:tcW w:type="dxa" w:w="42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خصخصة GitHub، بدء المراجعة القانونية، تفعيل النسخ الاحتياطي ومراقبة الأخطاء</w:t>
            </w:r>
          </w:p>
        </w:tc>
        <w:tc>
          <w:tcPr>
            <w:tcW w:type="dxa" w:w="18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صفر تسريب استراتيجي، نسخ احتياطي يعمل</w:t>
            </w:r>
          </w:p>
        </w:tc>
      </w:tr>
      <w:tr>
        <w:tc>
          <w:tcPr>
            <w:tcW w:type="dxa" w:w="20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1 — تفعيل الدخل</w:t>
            </w:r>
          </w:p>
        </w:tc>
        <w:tc>
          <w:tcPr>
            <w:tcW w:type="dxa" w:w="136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أسبوع 2–3</w:t>
            </w:r>
          </w:p>
        </w:tc>
        <w:tc>
          <w:tcPr>
            <w:tcW w:type="dxa" w:w="42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دمج بوابة دفع سعودية، حد استخدام مجاني، تفعيل CTA مبيعات Graphics House داخل المنتج</w:t>
            </w:r>
          </w:p>
        </w:tc>
        <w:tc>
          <w:tcPr>
            <w:tcW w:type="dxa" w:w="18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أول عملية دفع فعلية، أول إحالة مبيعات مكتملة</w:t>
            </w:r>
          </w:p>
        </w:tc>
      </w:tr>
      <w:tr>
        <w:tc>
          <w:tcPr>
            <w:tcW w:type="dxa" w:w="20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2 — التوزيع والاختبار</w:t>
            </w:r>
          </w:p>
        </w:tc>
        <w:tc>
          <w:tcPr>
            <w:tcW w:type="dxa" w:w="13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أسبوع 4–7</w:t>
            </w:r>
          </w:p>
        </w:tc>
        <w:tc>
          <w:tcPr>
            <w:tcW w:type="dxa" w:w="42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توزيع مباشر عبر واتساب ومجموعات المقاولين والمكاتب الهندسية، جمع 50–100 مستخدم فعلي</w:t>
            </w:r>
          </w:p>
        </w:tc>
        <w:tc>
          <w:tcPr>
            <w:tcW w:type="dxa" w:w="18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70% يكملون عرضاً أول في نفس الجلسة</w:t>
            </w:r>
          </w:p>
        </w:tc>
      </w:tr>
      <w:tr>
        <w:tc>
          <w:tcPr>
            <w:tcW w:type="dxa" w:w="20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3 — التكرار على البيانات</w:t>
            </w:r>
          </w:p>
        </w:tc>
        <w:tc>
          <w:tcPr>
            <w:tcW w:type="dxa" w:w="136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شهر 2–3</w:t>
            </w:r>
          </w:p>
        </w:tc>
        <w:tc>
          <w:tcPr>
            <w:tcW w:type="dxa" w:w="42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تفعيل خطط الاشتراك الكاملة، تعديل التسعير والميزات حسب الاستخدام الفعلي</w:t>
            </w:r>
          </w:p>
        </w:tc>
        <w:tc>
          <w:tcPr>
            <w:tcW w:type="dxa" w:w="1800"/>
            <w:tcBorders>
              <w:top w:val="single" w:color="D9DCE1" w:sz="4"/>
              <w:left w:val="single" w:color="D9DCE1" w:sz="4"/>
              <w:bottom w:val="single" w:color="D9DCE1" w:sz="4"/>
              <w:right w:val="single" w:color="D9DCE1" w:sz="4"/>
            </w:tcBorders>
            <w:shd w:fill="F2F4F7" w:val="clear"/>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معدل تحويل من مجاني لمدفوع، تكرار الاستخدام الشهري</w:t>
            </w:r>
          </w:p>
        </w:tc>
      </w:tr>
      <w:tr>
        <w:tc>
          <w:tcPr>
            <w:tcW w:type="dxa" w:w="20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4 — النمو</w:t>
            </w:r>
          </w:p>
        </w:tc>
        <w:tc>
          <w:tcPr>
            <w:tcW w:type="dxa" w:w="136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شهر 3–6</w:t>
            </w:r>
          </w:p>
        </w:tc>
        <w:tc>
          <w:tcPr>
            <w:tcW w:type="dxa" w:w="42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زيادة الإنفاق التسويقي إن كانت اقتصاديات الوحدة إيجابية، تقييم توسّع خليجي، تقييم جولة تمويل صغيرة بدعم مؤشرات جر فعلية</w:t>
            </w:r>
          </w:p>
        </w:tc>
        <w:tc>
          <w:tcPr>
            <w:tcW w:type="dxa" w:w="1800"/>
            <w:tcBorders>
              <w:top w:val="single" w:color="D9DCE1" w:sz="4"/>
              <w:left w:val="single" w:color="D9DCE1" w:sz="4"/>
              <w:bottom w:val="single" w:color="D9DCE1" w:sz="4"/>
              <w:right w:val="single" w:color="D9DCE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20"/>
                <w:szCs w:val="20"/>
                <w:rtl/>
              </w:rPr>
              <w:t xml:space="preserve">إيراد شهري متكرر (MRR) موجب ونامٍ</w:t>
            </w:r>
          </w:p>
        </w:tc>
      </w:tr>
    </w:tbl>
    <w:p>
      <w:pPr>
        <w:spacing w:after="160"/>
      </w:pPr>
    </w:p>
    <w:p>
      <w:pPr>
        <w:pStyle w:val="Heading2"/>
        <w:bidi/>
        <w:jc w:val="right"/>
      </w:pPr>
      <w:r>
        <w:rPr>
          <w:rtl/>
        </w:rPr>
        <w:t xml:space="preserve">مؤشرات الأداء الرئيسية (KPIs) للمتابعة الأسبوعية</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عدد المستخدمين الذين بدأوا عرضاً / عدد الذين أكملوه حتى PDF.</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معدل التحويل من الاستخدام المجاني إلى أول عملية دفع.</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عدد إحالات خدمات Graphics House الناتجة عن المنتج، وقيمتها.</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الإيراد الشهري المتكرر (MRR) وعدد العملاء الفاعلين.</w:t>
      </w:r>
    </w:p>
    <w:p>
      <w:pPr>
        <w:pStyle w:val="ListParagraph"/>
        <w:numPr>
          <w:ilvl w:val="0"/>
          <w:numId w:val="2"/>
        </w:numPr>
        <w:bidi/>
        <w:spacing w:after="100" w:line="300"/>
        <w:jc w:val="right"/>
      </w:pPr>
      <w:r>
        <w:rPr>
          <w:rFonts w:ascii="Arial" w:cs="Arial" w:eastAsia="Arial" w:hAnsi="Arial"/>
          <w:b w:val="false"/>
          <w:bCs w:val="false"/>
          <w:sz w:val="22"/>
          <w:szCs w:val="22"/>
          <w:rtl/>
        </w:rPr>
        <w:t xml:space="preserve">زمن إنشاء العرض الفعلي (الهدف: أقل من 10 دقائق كما هو معلن على الموقع).</w:t>
      </w:r>
    </w:p>
    <w:p>
      <w:r>
        <w:br w:type="page"/>
      </w:r>
    </w:p>
    <w:p>
      <w:pPr>
        <w:pStyle w:val="Heading1"/>
        <w:bidi/>
        <w:jc w:val="right"/>
      </w:pPr>
      <w:r>
        <w:rPr>
          <w:rtl/>
        </w:rPr>
        <w:t xml:space="preserve">5. الخلاصة والتوصية</w:t>
      </w:r>
    </w:p>
    <w:p>
      <w:pPr>
        <w:bidi/>
        <w:spacing w:after="160" w:line="300"/>
        <w:jc w:val="right"/>
      </w:pPr>
      <w:r>
        <w:rPr>
          <w:rFonts w:ascii="Arial" w:cs="Arial" w:eastAsia="Arial" w:hAnsi="Arial"/>
          <w:b w:val="false"/>
          <w:bCs w:val="false"/>
          <w:sz w:val="22"/>
          <w:szCs w:val="22"/>
          <w:rtl/>
        </w:rPr>
        <w:t xml:space="preserve">رواق مشروع بأساس منتج قوي وحقيقي: يعالج مشكلة ملحّة بتخصيص محلي عميق يصعب تقليده بسرعة، وقد وصل بالفعل إلى تنفيذ تقني متقدم يتجاوز مرحلة الفكرة أو حتى الـ MVP البسيط. هذا مستوى تنفيذ نادر لمشروع بعمر أسابيع قليلة.</w:t>
      </w:r>
    </w:p>
    <w:p>
      <w:pPr>
        <w:bidi/>
        <w:spacing w:after="160" w:line="300"/>
        <w:jc w:val="right"/>
      </w:pPr>
      <w:r>
        <w:rPr>
          <w:rFonts w:ascii="Arial" w:cs="Arial" w:eastAsia="Arial" w:hAnsi="Arial"/>
          <w:b w:val="false"/>
          <w:bCs w:val="false"/>
          <w:sz w:val="22"/>
          <w:szCs w:val="22"/>
          <w:rtl/>
        </w:rPr>
        <w:t xml:space="preserve">في المقابل، المشروع حالياً أبعد ما يكون عن هدفه المعلن "الكاش فلو السريع": لا توجد آلية دفع مفعّلة، ولا صفحة تسعير حية، والاستخدام مجاني بالكامل بدون حدود. الفجوة ليست في المنتج بل في تفعيل الدخل حوله.</w:t>
      </w:r>
    </w:p>
    <w:p>
      <w:pPr>
        <w:bidi/>
        <w:spacing w:after="160" w:line="300"/>
        <w:jc w:val="right"/>
      </w:pPr>
      <w:r>
        <w:rPr>
          <w:rFonts w:ascii="Arial" w:cs="Arial" w:eastAsia="Arial" w:hAnsi="Arial"/>
          <w:b w:val="false"/>
          <w:bCs w:val="false"/>
          <w:sz w:val="22"/>
          <w:szCs w:val="22"/>
          <w:rtl/>
        </w:rPr>
        <w:t xml:space="preserve">التوصية المباشرة: قبل إضافة أي ميزة جديدة، التركيز الكامل خلال الأسابيع الثلاثة القادمة على ثلاثة أشياء فقط:</w:t>
      </w:r>
    </w:p>
    <w:p>
      <w:pPr>
        <w:pStyle w:val="ListParagraph"/>
        <w:numPr>
          <w:ilvl w:val="0"/>
          <w:numId w:val="3"/>
        </w:numPr>
        <w:bidi/>
        <w:spacing w:after="100" w:line="300"/>
        <w:jc w:val="right"/>
      </w:pPr>
      <w:r>
        <w:rPr>
          <w:rFonts w:ascii="Arial" w:cs="Arial" w:eastAsia="Arial" w:hAnsi="Arial"/>
          <w:sz w:val="22"/>
          <w:szCs w:val="22"/>
          <w:rtl/>
        </w:rPr>
        <w:t xml:space="preserve">تأمين الملكية الفكرية والاستراتيجية بخصخصة مستودع GitHub فوراً.</w:t>
      </w:r>
    </w:p>
    <w:p>
      <w:pPr>
        <w:pStyle w:val="ListParagraph"/>
        <w:numPr>
          <w:ilvl w:val="0"/>
          <w:numId w:val="3"/>
        </w:numPr>
        <w:bidi/>
        <w:spacing w:after="100" w:line="300"/>
        <w:jc w:val="right"/>
      </w:pPr>
      <w:r>
        <w:rPr>
          <w:rFonts w:ascii="Arial" w:cs="Arial" w:eastAsia="Arial" w:hAnsi="Arial"/>
          <w:sz w:val="22"/>
          <w:szCs w:val="22"/>
          <w:rtl/>
        </w:rPr>
        <w:t xml:space="preserve">تفعيل بوابة دفع سعودية حقيقية (Moyasar/Tap) وربط أول نقطة دفع بسيطة.</w:t>
      </w:r>
    </w:p>
    <w:p>
      <w:pPr>
        <w:pStyle w:val="ListParagraph"/>
        <w:numPr>
          <w:ilvl w:val="0"/>
          <w:numId w:val="3"/>
        </w:numPr>
        <w:bidi/>
        <w:spacing w:after="100" w:line="300"/>
        <w:jc w:val="right"/>
      </w:pPr>
      <w:r>
        <w:rPr>
          <w:rFonts w:ascii="Arial" w:cs="Arial" w:eastAsia="Arial" w:hAnsi="Arial"/>
          <w:sz w:val="22"/>
          <w:szCs w:val="22"/>
          <w:rtl/>
        </w:rPr>
        <w:t xml:space="preserve">تفعيل مسار البيع التكميلي عبر Graphics House داخل تدفق المنتج مباشرة — فهو أسرع طريق فعلي لتحقيق كاش فلو حقيقي بينما تنضج اشتراكات SaaS.</w:t>
      </w:r>
    </w:p>
    <w:p>
      <w:pPr>
        <w:bidi/>
        <w:spacing w:after="160" w:line="300"/>
        <w:jc w:val="right"/>
      </w:pPr>
      <w:r>
        <w:rPr>
          <w:rFonts w:ascii="Arial" w:cs="Arial" w:eastAsia="Arial" w:hAnsi="Arial"/>
          <w:b w:val="false"/>
          <w:bCs w:val="false"/>
          <w:sz w:val="22"/>
          <w:szCs w:val="22"/>
          <w:rtl/>
        </w:rPr>
        <w:t xml:space="preserve">بعد تحقق هذه النقاط الثلاث وقياس أول بيانات استخدام حقيقية، يصبح التوسع في الميزات والتسعير الكامل والتوزيع الأوسع قراراً مبنياً على بيانات لا على افتراضات.</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2B" w:sz="8" w:space="6"/>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B886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2026-07-01T23:02:48.592Z</dcterms:created>
  <dcterms:modified xsi:type="dcterms:W3CDTF">2026-07-01T23:02:48.593Z</dcterms:modified>
</cp:coreProperties>
</file>

<file path=docProps/custom.xml><?xml version="1.0" encoding="utf-8"?>
<Properties xmlns="http://schemas.openxmlformats.org/officeDocument/2006/custom-properties" xmlns:vt="http://schemas.openxmlformats.org/officeDocument/2006/docPropsVTypes"/>
</file>