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1314" w14:textId="0C3D09C0" w:rsidR="00A20880" w:rsidRPr="004F4BB4" w:rsidRDefault="004F4BB4" w:rsidP="004F4BB4">
      <w:pPr>
        <w:bidi/>
        <w:jc w:val="center"/>
        <w:rPr>
          <w:rFonts w:ascii="Segoe UI" w:hAnsi="Segoe UI" w:cs="Segoe UI"/>
          <w:b/>
          <w:bCs/>
          <w:sz w:val="40"/>
          <w:szCs w:val="40"/>
          <w:lang w:bidi="he-IL"/>
        </w:rPr>
      </w:pPr>
      <w:r w:rsidRPr="004F4BB4">
        <w:rPr>
          <w:rFonts w:ascii="Segoe UI" w:hAnsi="Segoe UI" w:cs="Segoe UI" w:hint="cs"/>
          <w:b/>
          <w:bCs/>
          <w:sz w:val="40"/>
          <w:szCs w:val="40"/>
          <w:rtl/>
          <w:lang w:bidi="he-IL"/>
        </w:rPr>
        <w:t>דוח ביניים</w:t>
      </w:r>
    </w:p>
    <w:p w14:paraId="6ABDCC3E" w14:textId="77777777" w:rsidR="00A92AD7" w:rsidRPr="006810DF" w:rsidRDefault="003B4B88" w:rsidP="0019640D">
      <w:pPr>
        <w:bidi/>
        <w:spacing w:after="8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המלצות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לעדכון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ושיפור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נוהל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גיוס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ואיוש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משרות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בחברה</w:t>
      </w:r>
      <w:proofErr w:type="spellEnd"/>
    </w:p>
    <w:p w14:paraId="0E514888" w14:textId="77777777" w:rsidR="00A92AD7" w:rsidRPr="006810DF" w:rsidRDefault="003B4B88" w:rsidP="0019640D">
      <w:pPr>
        <w:bidi/>
        <w:spacing w:after="4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סקירה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והמלצות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מבוססות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מקורות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מקצועיים</w:t>
      </w:r>
      <w:proofErr w:type="spellEnd"/>
    </w:p>
    <w:p w14:paraId="5F58535C" w14:textId="58C63E7C" w:rsidR="00A92AD7" w:rsidRPr="006810DF" w:rsidRDefault="003B4B88" w:rsidP="0019640D">
      <w:pPr>
        <w:pBdr>
          <w:bottom w:val="single" w:sz="18" w:space="1" w:color="0B769F" w:themeColor="accent4" w:themeShade="BF"/>
        </w:pBdr>
        <w:bidi/>
        <w:spacing w:after="360" w:line="240" w:lineRule="auto"/>
        <w:jc w:val="center"/>
        <w:rPr>
          <w:rFonts w:ascii="Segoe UI" w:hAnsi="Segoe UI" w:cs="Segoe UI"/>
          <w:bCs/>
          <w:sz w:val="28"/>
          <w:szCs w:val="28"/>
        </w:rPr>
      </w:pPr>
      <w:r w:rsidRPr="006810DF">
        <w:rPr>
          <w:rFonts w:ascii="Segoe UI" w:hAnsi="Segoe UI" w:cs="Segoe UI"/>
          <w:bCs/>
          <w:sz w:val="28"/>
          <w:szCs w:val="28"/>
          <w:rtl/>
        </w:rPr>
        <w:t xml:space="preserve">חברת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"מקורות"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|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יוני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2026</w:t>
      </w:r>
    </w:p>
    <w:p w14:paraId="622CD957" w14:textId="2DFD7898" w:rsidR="00A154B1" w:rsidRDefault="00A154B1" w:rsidP="004F4BB4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  <w:r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הנוהל</w:t>
      </w:r>
      <w:r w:rsidR="002B32F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והוראותיו</w:t>
      </w:r>
    </w:p>
    <w:p w14:paraId="054B5418" w14:textId="34AC53FB" w:rsidR="002B32F4" w:rsidRPr="00E6588F" w:rsidRDefault="00E6588F" w:rsidP="002B32F4">
      <w:pPr>
        <w:pStyle w:val="ListParagraph"/>
        <w:bidi/>
        <w:spacing w:after="120" w:line="276" w:lineRule="auto"/>
        <w:ind w:left="334"/>
        <w:rPr>
          <w:rFonts w:ascii="Segoe UI" w:hAnsi="Segoe UI" w:cs="Segoe UI"/>
          <w:b/>
          <w:rtl/>
          <w:lang w:bidi="he-IL"/>
        </w:rPr>
      </w:pPr>
      <w:r w:rsidRPr="00E6588F">
        <w:rPr>
          <w:rFonts w:ascii="Segoe UI" w:hAnsi="Segoe UI" w:cs="Segoe UI" w:hint="cs"/>
          <w:b/>
          <w:rtl/>
          <w:lang w:bidi="he-IL"/>
        </w:rPr>
        <w:t>להלן סתירות ואי-התאמות בנוהל:</w:t>
      </w:r>
    </w:p>
    <w:tbl>
      <w:tblPr>
        <w:tblStyle w:val="TableGrid"/>
        <w:bidiVisual/>
        <w:tblW w:w="10685" w:type="dxa"/>
        <w:jc w:val="center"/>
        <w:tblLook w:val="04A0" w:firstRow="1" w:lastRow="0" w:firstColumn="1" w:lastColumn="0" w:noHBand="0" w:noVBand="1"/>
      </w:tblPr>
      <w:tblGrid>
        <w:gridCol w:w="493"/>
        <w:gridCol w:w="1666"/>
        <w:gridCol w:w="2435"/>
        <w:gridCol w:w="2378"/>
        <w:gridCol w:w="2322"/>
        <w:gridCol w:w="1391"/>
      </w:tblGrid>
      <w:tr w:rsidR="005924E0" w:rsidRPr="00A80D40" w14:paraId="27866A0C" w14:textId="1A4D97D3" w:rsidTr="005E0D63">
        <w:trPr>
          <w:tblHeader/>
          <w:jc w:val="center"/>
        </w:trPr>
        <w:tc>
          <w:tcPr>
            <w:tcW w:w="482" w:type="dxa"/>
            <w:shd w:val="clear" w:color="auto" w:fill="0B769F" w:themeFill="accent4" w:themeFillShade="BF"/>
            <w:vAlign w:val="center"/>
          </w:tcPr>
          <w:p w14:paraId="62563A02" w14:textId="71F4120E" w:rsidR="005924E0" w:rsidRPr="00A80D40" w:rsidRDefault="005924E0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1668" w:type="dxa"/>
            <w:shd w:val="clear" w:color="auto" w:fill="0B769F" w:themeFill="accent4" w:themeFillShade="BF"/>
          </w:tcPr>
          <w:p w14:paraId="20FC4FA5" w14:textId="2375425E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נושא</w:t>
            </w:r>
          </w:p>
        </w:tc>
        <w:tc>
          <w:tcPr>
            <w:tcW w:w="2438" w:type="dxa"/>
            <w:shd w:val="clear" w:color="auto" w:fill="0B769F" w:themeFill="accent4" w:themeFillShade="BF"/>
          </w:tcPr>
          <w:p w14:paraId="0A883C85" w14:textId="76428D05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סעיפים מתנגשים/ מקור הבעיה</w:t>
            </w:r>
          </w:p>
        </w:tc>
        <w:tc>
          <w:tcPr>
            <w:tcW w:w="2381" w:type="dxa"/>
            <w:shd w:val="clear" w:color="auto" w:fill="0B769F" w:themeFill="accent4" w:themeFillShade="BF"/>
          </w:tcPr>
          <w:p w14:paraId="2DC649AD" w14:textId="05F04AC3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הבעיה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B054B63" w14:textId="70BE08F0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המלצה לתיקון</w:t>
            </w:r>
          </w:p>
        </w:tc>
        <w:tc>
          <w:tcPr>
            <w:tcW w:w="1392" w:type="dxa"/>
            <w:shd w:val="clear" w:color="auto" w:fill="0B769F" w:themeFill="accent4" w:themeFillShade="BF"/>
          </w:tcPr>
          <w:p w14:paraId="0529F121" w14:textId="6234509C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חומרה</w:t>
            </w:r>
          </w:p>
        </w:tc>
      </w:tr>
      <w:tr w:rsidR="005E0D63" w:rsidRPr="00A80D40" w14:paraId="56B68E21" w14:textId="14978BEA" w:rsidTr="005E0D63">
        <w:trPr>
          <w:jc w:val="center"/>
        </w:trPr>
        <w:tc>
          <w:tcPr>
            <w:tcW w:w="482" w:type="dxa"/>
            <w:vAlign w:val="center"/>
          </w:tcPr>
          <w:p w14:paraId="6A9F1CE2" w14:textId="771528E3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</w:t>
            </w:r>
          </w:p>
        </w:tc>
        <w:tc>
          <w:tcPr>
            <w:tcW w:w="1668" w:type="dxa"/>
          </w:tcPr>
          <w:p w14:paraId="7523F1B9" w14:textId="6ED74A0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מכרז פנימי מול גיוס חיצוני למנהלי יחידה</w:t>
            </w:r>
          </w:p>
        </w:tc>
        <w:tc>
          <w:tcPr>
            <w:tcW w:w="2438" w:type="dxa"/>
          </w:tcPr>
          <w:p w14:paraId="7EFD4E6C" w14:textId="4857F9D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proofErr w:type="gramStart"/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4.1.2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="00C11C00"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</w:t>
            </w:r>
            <w:proofErr w:type="gram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למצות תחילה מועמדים פנימיים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המתיר ישירות "מכרז פנימי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גיוס חיצוני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14DF3B52" w14:textId="48A4A7F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ישירה היוצרת אי-בהירות מי מחליט אם לדלג לגיוס חיצוני במשרות מנהלי יחידה</w:t>
            </w:r>
          </w:p>
        </w:tc>
        <w:tc>
          <w:tcPr>
            <w:tcW w:w="2324" w:type="dxa"/>
          </w:tcPr>
          <w:p w14:paraId="52F36BD0" w14:textId="7D57A3C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להגדיר ב-4.1.5 שמכרז פנימי הוא ברירת המחדל; גיוס חיצוני במקביל רק בנסיבות חריגות מנומקות ובאישור 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</w:p>
        </w:tc>
        <w:tc>
          <w:tcPr>
            <w:tcW w:w="1392" w:type="dxa"/>
            <w:vAlign w:val="center"/>
          </w:tcPr>
          <w:p w14:paraId="5F7BFF26" w14:textId="6BCFD35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5353624" w14:textId="2C5A0200" w:rsidTr="005E0D63">
        <w:trPr>
          <w:jc w:val="center"/>
        </w:trPr>
        <w:tc>
          <w:tcPr>
            <w:tcW w:w="482" w:type="dxa"/>
            <w:vAlign w:val="center"/>
          </w:tcPr>
          <w:p w14:paraId="34775C6F" w14:textId="01CE92B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2</w:t>
            </w:r>
          </w:p>
        </w:tc>
        <w:tc>
          <w:tcPr>
            <w:tcW w:w="1668" w:type="dxa"/>
          </w:tcPr>
          <w:p w14:paraId="6221DCFF" w14:textId="5440342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יידוע מועמד לפני קבלת אישור מטה</w:t>
            </w:r>
          </w:p>
        </w:tc>
        <w:tc>
          <w:tcPr>
            <w:tcW w:w="2438" w:type="dxa"/>
          </w:tcPr>
          <w:p w14:paraId="48281833" w14:textId="29E002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טו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(הוועדה מוציאה הודעה למועמד)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("</w:t>
            </w:r>
            <w:r w:rsidRPr="00A80D40">
              <w:rPr>
                <w:rFonts w:ascii="Segoe UI" w:hAnsi="Segoe UI" w:cs="Segoe UI"/>
                <w:rtl/>
                <w:lang w:bidi="he-IL"/>
              </w:rPr>
              <w:t>אין להודיע למועמד בטרם קבלת אישור מיח' משאבי אנוש</w:t>
            </w:r>
            <w:r w:rsidRPr="00A80D40">
              <w:rPr>
                <w:rFonts w:ascii="Segoe UI" w:hAnsi="Segoe UI" w:cs="Segoe UI"/>
                <w:lang w:bidi="he-IL"/>
              </w:rPr>
              <w:t>")</w:t>
            </w:r>
          </w:p>
        </w:tc>
        <w:tc>
          <w:tcPr>
            <w:tcW w:w="2381" w:type="dxa"/>
          </w:tcPr>
          <w:p w14:paraId="140B8E99" w14:textId="6FCC0F8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מובהקת – אי אפשר לקיים את שני הסעיפים בו-זמנית</w:t>
            </w:r>
          </w:p>
        </w:tc>
        <w:tc>
          <w:tcPr>
            <w:tcW w:w="2324" w:type="dxa"/>
          </w:tcPr>
          <w:p w14:paraId="1A6A39D5" w14:textId="263418B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בסעיף 4.3.2 טו את ההסתייגות "לאחר קבלת אישור יח' משאבי אנוש במטה כאמור בסעיף 4.4.17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8396755" w14:textId="1EECDE6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082FD55" w14:textId="33D72B57" w:rsidTr="005E0D63">
        <w:trPr>
          <w:jc w:val="center"/>
        </w:trPr>
        <w:tc>
          <w:tcPr>
            <w:tcW w:w="482" w:type="dxa"/>
            <w:vAlign w:val="center"/>
          </w:tcPr>
          <w:p w14:paraId="256AE636" w14:textId="6CE0235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3</w:t>
            </w:r>
          </w:p>
        </w:tc>
        <w:tc>
          <w:tcPr>
            <w:tcW w:w="1668" w:type="dxa"/>
          </w:tcPr>
          <w:p w14:paraId="110E6502" w14:textId="3E1CAF6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מנגנון "אישור בשתיקה" למשרה חודשית</w:t>
            </w:r>
          </w:p>
        </w:tc>
        <w:tc>
          <w:tcPr>
            <w:tcW w:w="2438" w:type="dxa"/>
          </w:tcPr>
          <w:p w14:paraId="7045CAD3" w14:textId="11D75F3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ג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קובע אישור בשתיקה לעובד יומי תוך 7 ימים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מחייב 10 ימי עבודה לחודשי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ללא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מנגנון מקביל אם אין מענה</w:t>
            </w:r>
          </w:p>
        </w:tc>
        <w:tc>
          <w:tcPr>
            <w:tcW w:w="2381" w:type="dxa"/>
          </w:tcPr>
          <w:p w14:paraId="60A67136" w14:textId="027DCB9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מבוי סתום פרוצדורלי – משרה חודשית תקועה ללא אפשרות התקדמות אם המטה לא מגיב</w:t>
            </w:r>
          </w:p>
        </w:tc>
        <w:tc>
          <w:tcPr>
            <w:tcW w:w="2324" w:type="dxa"/>
          </w:tcPr>
          <w:p w14:paraId="6C51FED4" w14:textId="37A5CA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מנגנון הסלמה: לא הוגבה התייחסות תוך 10 ימים – פנייה בכתב לסמנכ"ל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להכרעה תוך 5 ימי עבודה</w:t>
            </w:r>
          </w:p>
        </w:tc>
        <w:tc>
          <w:tcPr>
            <w:tcW w:w="1392" w:type="dxa"/>
            <w:vAlign w:val="center"/>
          </w:tcPr>
          <w:p w14:paraId="20A9FF88" w14:textId="001C9E5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1756826E" w14:textId="77777777" w:rsidTr="005E0D63">
        <w:trPr>
          <w:jc w:val="center"/>
        </w:trPr>
        <w:tc>
          <w:tcPr>
            <w:tcW w:w="482" w:type="dxa"/>
            <w:vAlign w:val="center"/>
          </w:tcPr>
          <w:p w14:paraId="1FD6FD70" w14:textId="6DB7BF47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4</w:t>
            </w:r>
          </w:p>
        </w:tc>
        <w:tc>
          <w:tcPr>
            <w:tcW w:w="1668" w:type="dxa"/>
          </w:tcPr>
          <w:p w14:paraId="15C58190" w14:textId="6D80EA76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פיטורי עובד תוך 24 שעות בעקבות חריגה</w:t>
            </w:r>
          </w:p>
        </w:tc>
        <w:tc>
          <w:tcPr>
            <w:tcW w:w="2438" w:type="dxa"/>
          </w:tcPr>
          <w:p w14:paraId="55083CEA" w14:textId="0E6D83E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ב + 4.4.17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מקנים סמכות "להורות למרחב לפטר את העובד בהתראה של 24 שעות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3815C16A" w14:textId="2EF78C2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הוראה בלתי-חוקית הסותרת את חוק הודעה מוקדמת לפיטורים, התשס"א-2001, ואת חובת השימוע בפסיקה</w:t>
            </w:r>
          </w:p>
        </w:tc>
        <w:tc>
          <w:tcPr>
            <w:tcW w:w="2324" w:type="dxa"/>
          </w:tcPr>
          <w:p w14:paraId="35A9C245" w14:textId="6E5F00A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במקרה חריגה – המרחב יתקן תוך 14 ימי עבודה; סיום העסקה רק לאחר שימוע והודעה מוקדמת כדין</w:t>
            </w:r>
          </w:p>
        </w:tc>
        <w:tc>
          <w:tcPr>
            <w:tcW w:w="1392" w:type="dxa"/>
            <w:vAlign w:val="center"/>
          </w:tcPr>
          <w:p w14:paraId="4C8EA4D6" w14:textId="64F31452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396EDC2B" w14:textId="77777777" w:rsidTr="005E0D63">
        <w:trPr>
          <w:jc w:val="center"/>
        </w:trPr>
        <w:tc>
          <w:tcPr>
            <w:tcW w:w="482" w:type="dxa"/>
            <w:vAlign w:val="center"/>
          </w:tcPr>
          <w:p w14:paraId="6CD683E2" w14:textId="3D320A7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5</w:t>
            </w:r>
          </w:p>
        </w:tc>
        <w:tc>
          <w:tcPr>
            <w:tcW w:w="1668" w:type="dxa"/>
          </w:tcPr>
          <w:p w14:paraId="7C8E71B4" w14:textId="05AFA2F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תקופת ניסיון – ללא מנגנון הפיכה לקבע</w:t>
            </w:r>
          </w:p>
        </w:tc>
        <w:tc>
          <w:tcPr>
            <w:tcW w:w="2438" w:type="dxa"/>
          </w:tcPr>
          <w:p w14:paraId="7FAD0949" w14:textId="1A6AC9A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נספח </w:t>
            </w:r>
            <w:proofErr w:type="spellStart"/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יג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מציין "תוקף המינוי לשישה חודשים"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בכל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lastRenderedPageBreak/>
              <w:t>הנוהל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אין סעיף המגדיר תהליך מעבר לקביעות (מי מעריך, באילו טפסים, מה קורה אם נכשל)</w:t>
            </w:r>
          </w:p>
        </w:tc>
        <w:tc>
          <w:tcPr>
            <w:tcW w:w="2381" w:type="dxa"/>
          </w:tcPr>
          <w:p w14:paraId="2C4A4250" w14:textId="69C8DE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היעדר מנגנון פרוצדורלי בתום תקופת הניסיון;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חשיפה לטענות קיבעון אוטומטי</w:t>
            </w:r>
          </w:p>
        </w:tc>
        <w:tc>
          <w:tcPr>
            <w:tcW w:w="2324" w:type="dxa"/>
          </w:tcPr>
          <w:p w14:paraId="37DEB63A" w14:textId="4DA92AF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להוסיף סעיף 4.5: הערכת ביצועים 30 יום לפני סיום, אישור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מנהל מרחב + יח' משאבי אנוש, מכתב קבע תוך 14 יום או הודעה על אי-קביעות 30 יום מראש</w:t>
            </w:r>
          </w:p>
        </w:tc>
        <w:tc>
          <w:tcPr>
            <w:tcW w:w="1392" w:type="dxa"/>
            <w:vAlign w:val="center"/>
          </w:tcPr>
          <w:p w14:paraId="7601ADA0" w14:textId="5C5F67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lastRenderedPageBreak/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758CE460" w14:textId="77777777" w:rsidTr="005E0D63">
        <w:trPr>
          <w:jc w:val="center"/>
        </w:trPr>
        <w:tc>
          <w:tcPr>
            <w:tcW w:w="482" w:type="dxa"/>
            <w:vAlign w:val="center"/>
          </w:tcPr>
          <w:p w14:paraId="6D014000" w14:textId="43C7706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6</w:t>
            </w:r>
          </w:p>
        </w:tc>
        <w:tc>
          <w:tcPr>
            <w:tcW w:w="1668" w:type="dxa"/>
          </w:tcPr>
          <w:p w14:paraId="64012CCB" w14:textId="3E0C699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רפואית – מוזכרת אך לא משובצת</w:t>
            </w:r>
          </w:p>
        </w:tc>
        <w:tc>
          <w:tcPr>
            <w:tcW w:w="2438" w:type="dxa"/>
          </w:tcPr>
          <w:p w14:paraId="1C205E0F" w14:textId="0DC5F79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4.2.2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דורש אישור רפואי בתפקידים רלוונטיים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שום סעיף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לא מגדיר מתי הבדיקה מתבצעת, מי מבצע, ומה קורה אם נכשל</w:t>
            </w:r>
          </w:p>
        </w:tc>
        <w:tc>
          <w:tcPr>
            <w:tcW w:w="2381" w:type="dxa"/>
          </w:tcPr>
          <w:p w14:paraId="20C53806" w14:textId="5A1A5FD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סעיף שמצהיר על דרישה ללא ביצוע בפועל</w:t>
            </w:r>
          </w:p>
        </w:tc>
        <w:tc>
          <w:tcPr>
            <w:tcW w:w="2324" w:type="dxa"/>
          </w:tcPr>
          <w:p w14:paraId="4902F819" w14:textId="6DE2EC6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ב-4.4.16: הפניית המועמד הנבחר לרופא תעסוקתי טרם כתב המינוי; תוצאה תתויק תחת חיסיון רפואי; דיווח על-בסיס "התאמה/אי-התאמה" בלבד</w:t>
            </w:r>
          </w:p>
        </w:tc>
        <w:tc>
          <w:tcPr>
            <w:tcW w:w="1392" w:type="dxa"/>
            <w:vAlign w:val="center"/>
          </w:tcPr>
          <w:p w14:paraId="11F4C096" w14:textId="531D2B4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446EDCB1" w14:textId="77777777" w:rsidTr="005E0D63">
        <w:trPr>
          <w:jc w:val="center"/>
        </w:trPr>
        <w:tc>
          <w:tcPr>
            <w:tcW w:w="482" w:type="dxa"/>
            <w:vAlign w:val="center"/>
          </w:tcPr>
          <w:p w14:paraId="3F7DEAD0" w14:textId="553134E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7</w:t>
            </w:r>
          </w:p>
        </w:tc>
        <w:tc>
          <w:tcPr>
            <w:tcW w:w="1668" w:type="dxa"/>
          </w:tcPr>
          <w:p w14:paraId="5CA5F651" w14:textId="7D3BFA6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בעובד יומי</w:t>
            </w:r>
          </w:p>
        </w:tc>
        <w:tc>
          <w:tcPr>
            <w:tcW w:w="2438" w:type="dxa"/>
          </w:tcPr>
          <w:p w14:paraId="65E76993" w14:textId="7EB8F8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 שאלון התאמה ביטחונית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מאפשר קליטה ב-24 שעות במקרה דחוף</w:t>
            </w:r>
          </w:p>
        </w:tc>
        <w:tc>
          <w:tcPr>
            <w:tcW w:w="2381" w:type="dxa"/>
          </w:tcPr>
          <w:p w14:paraId="79CA18AC" w14:textId="40DC4EC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מובנית – לא ניתן להשלים בדיקה ביטחונית ב-24 שעות; או שהבדיקה בדיעבד (לא חוקי), או שהקליטה המהירה אינה מתממשת</w:t>
            </w:r>
          </w:p>
        </w:tc>
        <w:tc>
          <w:tcPr>
            <w:tcW w:w="2324" w:type="dxa"/>
          </w:tcPr>
          <w:p w14:paraId="59216A61" w14:textId="3594D42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רק במשרות שסיווג קב"ט ראשי מראש; במשרות יומיות לא-מסווגות – פטור; במסווגות – אין החלת קליטה מהירה עד תום הבדיקה</w:t>
            </w:r>
          </w:p>
        </w:tc>
        <w:tc>
          <w:tcPr>
            <w:tcW w:w="1392" w:type="dxa"/>
            <w:vAlign w:val="center"/>
          </w:tcPr>
          <w:p w14:paraId="71FAFAA7" w14:textId="2112823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268C3EC2" w14:textId="77777777" w:rsidTr="005E0D63">
        <w:trPr>
          <w:jc w:val="center"/>
        </w:trPr>
        <w:tc>
          <w:tcPr>
            <w:tcW w:w="482" w:type="dxa"/>
            <w:vAlign w:val="center"/>
          </w:tcPr>
          <w:p w14:paraId="6C154E3C" w14:textId="5BC869C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8</w:t>
            </w:r>
          </w:p>
        </w:tc>
        <w:tc>
          <w:tcPr>
            <w:tcW w:w="1668" w:type="dxa"/>
          </w:tcPr>
          <w:p w14:paraId="08674F22" w14:textId="010344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התקשרות עם חברות פרסום שלא בהכרח קיימת</w:t>
            </w:r>
          </w:p>
        </w:tc>
        <w:tc>
          <w:tcPr>
            <w:tcW w:w="2438" w:type="dxa"/>
          </w:tcPr>
          <w:p w14:paraId="7E537E39" w14:textId="19226F1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4.4.6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מורה לפרסם "דרך חברות לפרסום מודעות שיש למטה החברה התקשרות איתם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641E5DB8" w14:textId="5EC698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מניח בקיום התקשרות פעילה; ככל שאין – הנוהל ללא מענה</w:t>
            </w:r>
          </w:p>
        </w:tc>
        <w:tc>
          <w:tcPr>
            <w:tcW w:w="2324" w:type="dxa"/>
          </w:tcPr>
          <w:p w14:paraId="7BFE5659" w14:textId="299B019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חלופה: בהיעדר התקשרות פעילה – פרסום ישיר באתר החברה, פורטל דרושים מוביל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ולינקדאין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>, באישור מנהלת יח' משאבי אנוש</w:t>
            </w:r>
          </w:p>
        </w:tc>
        <w:tc>
          <w:tcPr>
            <w:tcW w:w="1392" w:type="dxa"/>
            <w:vAlign w:val="center"/>
          </w:tcPr>
          <w:p w14:paraId="674393DC" w14:textId="5E1B152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60FBE39E" w14:textId="77777777" w:rsidTr="005E0D63">
        <w:trPr>
          <w:jc w:val="center"/>
        </w:trPr>
        <w:tc>
          <w:tcPr>
            <w:tcW w:w="482" w:type="dxa"/>
            <w:vAlign w:val="center"/>
          </w:tcPr>
          <w:p w14:paraId="6D50582A" w14:textId="328FA10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9</w:t>
            </w:r>
          </w:p>
        </w:tc>
        <w:tc>
          <w:tcPr>
            <w:tcW w:w="1668" w:type="dxa"/>
          </w:tcPr>
          <w:p w14:paraId="3E532C3C" w14:textId="7570434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lang w:bidi="he-IL"/>
              </w:rPr>
              <w:t>"</w:t>
            </w:r>
            <w:r w:rsidRPr="00A80D40">
              <w:rPr>
                <w:rFonts w:ascii="Segoe UI" w:hAnsi="Segoe UI" w:cs="Segoe UI"/>
                <w:rtl/>
                <w:lang w:bidi="he-IL"/>
              </w:rPr>
              <w:t>עד 10 מועמדים" בתיק הגיוס</w:t>
            </w:r>
          </w:p>
        </w:tc>
        <w:tc>
          <w:tcPr>
            <w:tcW w:w="2438" w:type="dxa"/>
          </w:tcPr>
          <w:p w14:paraId="17D4BFB5" w14:textId="590C93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4.4.16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מגביל ל-"עד 10 מועמדים" בתיק לאחר סינון ראשוני</w:t>
            </w:r>
          </w:p>
        </w:tc>
        <w:tc>
          <w:tcPr>
            <w:tcW w:w="2381" w:type="dxa"/>
          </w:tcPr>
          <w:p w14:paraId="57CB4849" w14:textId="03E2F9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מה קורה אם עברו 15? איזה קריטריון לסינון? יוצר מצב בלתי-אפשרי לתיעוד</w:t>
            </w:r>
          </w:p>
        </w:tc>
        <w:tc>
          <w:tcPr>
            <w:tcW w:w="2324" w:type="dxa"/>
          </w:tcPr>
          <w:p w14:paraId="2CA107F0" w14:textId="3A9873D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כלל המועמדים יישמרו במערכת הממוחשבת; עד 10 קורות חיים של מי שהוזמן לשלב הבא יישמרו בתיק ה"פעיל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38BA5FD9" w14:textId="500785C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0AD55485" w14:textId="77777777" w:rsidTr="005E0D63">
        <w:trPr>
          <w:jc w:val="center"/>
        </w:trPr>
        <w:tc>
          <w:tcPr>
            <w:tcW w:w="482" w:type="dxa"/>
            <w:vAlign w:val="center"/>
          </w:tcPr>
          <w:p w14:paraId="3A5811CB" w14:textId="0800B12A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10</w:t>
            </w:r>
          </w:p>
        </w:tc>
        <w:tc>
          <w:tcPr>
            <w:tcW w:w="1668" w:type="dxa"/>
          </w:tcPr>
          <w:p w14:paraId="5FAF7A14" w14:textId="6ED2AF7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הגדרה לתפקידי משאבי אנוש</w:t>
            </w:r>
          </w:p>
        </w:tc>
        <w:tc>
          <w:tcPr>
            <w:tcW w:w="2438" w:type="dxa"/>
          </w:tcPr>
          <w:p w14:paraId="69EB293B" w14:textId="5283A70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פרק 3 (הגדרות) אינו מגדיר</w:t>
            </w:r>
            <w:r w:rsidRPr="00A80D40">
              <w:rPr>
                <w:rFonts w:ascii="Segoe UI" w:hAnsi="Segoe UI" w:cs="Segoe UI"/>
                <w:lang w:bidi="he-IL"/>
              </w:rPr>
              <w:t xml:space="preserve">: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יח'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מח'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ממונה על משאבי אנוש במרחב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lang w:bidi="he-IL"/>
              </w:rPr>
              <w:t xml:space="preserve">– </w:t>
            </w:r>
            <w:r w:rsidRPr="00A80D40">
              <w:rPr>
                <w:rFonts w:ascii="Segoe UI" w:hAnsi="Segoe UI" w:cs="Segoe UI"/>
                <w:rtl/>
                <w:lang w:bidi="he-IL"/>
              </w:rPr>
              <w:t>שלושתם מאוזכרים לאורך הנוהל בתפקידים שונים</w:t>
            </w:r>
          </w:p>
        </w:tc>
        <w:tc>
          <w:tcPr>
            <w:tcW w:w="2381" w:type="dxa"/>
          </w:tcPr>
          <w:p w14:paraId="7D999FB6" w14:textId="35932B3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אי-בהירות לגבי הסמכויות וההיררכיה; שונות יישומית בין מרחבים</w:t>
            </w:r>
          </w:p>
        </w:tc>
        <w:tc>
          <w:tcPr>
            <w:tcW w:w="2324" w:type="dxa"/>
          </w:tcPr>
          <w:p w14:paraId="0990FCCF" w14:textId="059FE5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לפרק 3 שלוש הגדרות מסודרות עם פירוט סמכויות והיררכיה ביניהם</w:t>
            </w:r>
          </w:p>
        </w:tc>
        <w:tc>
          <w:tcPr>
            <w:tcW w:w="1392" w:type="dxa"/>
            <w:vAlign w:val="center"/>
          </w:tcPr>
          <w:p w14:paraId="1A3F5610" w14:textId="4BA52DB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3C687E86" w14:textId="77777777" w:rsidTr="005E0D63">
        <w:trPr>
          <w:jc w:val="center"/>
        </w:trPr>
        <w:tc>
          <w:tcPr>
            <w:tcW w:w="482" w:type="dxa"/>
            <w:vAlign w:val="center"/>
          </w:tcPr>
          <w:p w14:paraId="35182857" w14:textId="1BD04A6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11</w:t>
            </w:r>
          </w:p>
        </w:tc>
        <w:tc>
          <w:tcPr>
            <w:tcW w:w="1668" w:type="dxa"/>
          </w:tcPr>
          <w:p w14:paraId="7AD06A05" w14:textId="23A38E4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מעמד עובדי שח"ם וחברות ייזום</w:t>
            </w:r>
          </w:p>
        </w:tc>
        <w:tc>
          <w:tcPr>
            <w:tcW w:w="2438" w:type="dxa"/>
          </w:tcPr>
          <w:p w14:paraId="2880288B" w14:textId="1FAAEE3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מתיר הגשה ל"עובדי שח"ם</w:t>
            </w:r>
            <w:r w:rsidRPr="00A80D40">
              <w:rPr>
                <w:rFonts w:ascii="Segoe UI" w:hAnsi="Segoe UI" w:cs="Segoe UI"/>
                <w:lang w:bidi="he-IL"/>
              </w:rPr>
              <w:t xml:space="preserve">";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ה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מחריג "עובדי חברת ייזום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57A03788" w14:textId="69ECA9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אין הגדרה לאף אחת מהחברות; פוטנציאל לפסילה שגויה של מועמדויות או אישור שלא כדין</w:t>
            </w:r>
          </w:p>
        </w:tc>
        <w:tc>
          <w:tcPr>
            <w:tcW w:w="2324" w:type="dxa"/>
          </w:tcPr>
          <w:p w14:paraId="387F50D8" w14:textId="623CF1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לפרק 3 הגדרות מדויקות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לשח"ם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("חברה בבעלות מקורות")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ול"חברת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ייזום" עם פירוט מעמדם החוזי</w:t>
            </w:r>
          </w:p>
        </w:tc>
        <w:tc>
          <w:tcPr>
            <w:tcW w:w="1392" w:type="dxa"/>
            <w:vAlign w:val="center"/>
          </w:tcPr>
          <w:p w14:paraId="074D52A7" w14:textId="1AD7A55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147F166A" w14:textId="77777777" w:rsidTr="005E0D63">
        <w:trPr>
          <w:jc w:val="center"/>
        </w:trPr>
        <w:tc>
          <w:tcPr>
            <w:tcW w:w="482" w:type="dxa"/>
            <w:vAlign w:val="center"/>
          </w:tcPr>
          <w:p w14:paraId="0FCABAD1" w14:textId="124A0130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12</w:t>
            </w:r>
          </w:p>
        </w:tc>
        <w:tc>
          <w:tcPr>
            <w:tcW w:w="1668" w:type="dxa"/>
          </w:tcPr>
          <w:p w14:paraId="6F6D991F" w14:textId="549700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ועדת חריגים – ללא הגדרה</w:t>
            </w:r>
          </w:p>
        </w:tc>
        <w:tc>
          <w:tcPr>
            <w:tcW w:w="2438" w:type="dxa"/>
          </w:tcPr>
          <w:p w14:paraId="5A98391D" w14:textId="7B8087F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 ו-4.4.16 יא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מאזכרים "ועדת חריגים" ללא הרכב, סמכויות או מנגנון התכנסות</w:t>
            </w:r>
          </w:p>
        </w:tc>
        <w:tc>
          <w:tcPr>
            <w:tcW w:w="2381" w:type="dxa"/>
          </w:tcPr>
          <w:p w14:paraId="1CD3FB4F" w14:textId="372AB90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הוועדה משמשת בסיס להחלטות מהותיות אך אינה מוגדרת בנוהל</w:t>
            </w:r>
          </w:p>
        </w:tc>
        <w:tc>
          <w:tcPr>
            <w:tcW w:w="2324" w:type="dxa"/>
          </w:tcPr>
          <w:p w14:paraId="0B5CBD26" w14:textId="5704E3C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הפניה מפורשת: "ועדת חריגים – כהגדרתה בנוהל העסקת קרובי משפחה מס' 12-21-04, על הרכבה וסמכויותיה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FD11E29" w14:textId="5DEDD41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🟢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נמוכה</w:t>
            </w:r>
          </w:p>
        </w:tc>
      </w:tr>
    </w:tbl>
    <w:p w14:paraId="7884E1AC" w14:textId="77777777" w:rsidR="00E6588F" w:rsidRDefault="00E6588F" w:rsidP="00E6588F">
      <w:pPr>
        <w:pStyle w:val="ListParagraph"/>
        <w:bidi/>
        <w:spacing w:after="120" w:line="276" w:lineRule="auto"/>
        <w:ind w:left="33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</w:p>
    <w:p w14:paraId="43A6D395" w14:textId="45D6F2C9" w:rsidR="006810DF" w:rsidRPr="004F4BB4" w:rsidRDefault="004F4BB4" w:rsidP="00A154B1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4F4BB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תשתית חוקתית אל מול הנחיות נוהל גיוס ואיוש משרות בחברה</w:t>
      </w:r>
    </w:p>
    <w:p w14:paraId="4D3AD780" w14:textId="77777777" w:rsidR="004F4BB4" w:rsidRPr="004F4BB4" w:rsidRDefault="004F4BB4" w:rsidP="004F4BB4">
      <w:pPr>
        <w:bidi/>
        <w:spacing w:after="120" w:line="276" w:lineRule="auto"/>
        <w:ind w:left="334"/>
        <w:rPr>
          <w:rFonts w:ascii="Segoe UI" w:hAnsi="Segoe UI" w:cs="Segoe UI"/>
          <w:b/>
          <w:lang w:bidi="he-IL"/>
        </w:rPr>
      </w:pPr>
      <w:r w:rsidRPr="004F4BB4">
        <w:rPr>
          <w:rFonts w:ascii="Segoe UI" w:hAnsi="Segoe UI" w:cs="Segoe UI"/>
          <w:b/>
          <w:rtl/>
          <w:lang w:bidi="he-IL"/>
        </w:rPr>
        <w:t>להלן הפערים והסתירות שנמצאו בין נהלי החברה לגיוס עובדים לבין דין מדינת ישראל, בהתבסס אך ורק על המסמכים שנבדקו ועל הוראות החוק המפורשות. לא פורטו סעיפים תואמים או מחמירים – רק נקודות שבהן קיימת סתירה, חוסר התאמה או סיכון משפטי המחייב עדכון.</w:t>
      </w:r>
    </w:p>
    <w:tbl>
      <w:tblPr>
        <w:tblStyle w:val="TableGrid"/>
        <w:bidiVisual/>
        <w:tblW w:w="10077" w:type="dxa"/>
        <w:jc w:val="center"/>
        <w:tblLook w:val="04A0" w:firstRow="1" w:lastRow="0" w:firstColumn="1" w:lastColumn="0" w:noHBand="0" w:noVBand="1"/>
      </w:tblPr>
      <w:tblGrid>
        <w:gridCol w:w="1460"/>
        <w:gridCol w:w="2665"/>
        <w:gridCol w:w="3628"/>
        <w:gridCol w:w="2324"/>
      </w:tblGrid>
      <w:tr w:rsidR="003166C9" w14:paraId="09AF3197" w14:textId="77777777" w:rsidTr="003166C9">
        <w:trPr>
          <w:tblHeader/>
          <w:jc w:val="center"/>
        </w:trPr>
        <w:tc>
          <w:tcPr>
            <w:tcW w:w="1460" w:type="dxa"/>
            <w:shd w:val="clear" w:color="auto" w:fill="0B769F" w:themeFill="accent4" w:themeFillShade="BF"/>
          </w:tcPr>
          <w:p w14:paraId="16DC7157" w14:textId="560D905E" w:rsidR="003166C9" w:rsidRPr="009D0D8C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9D0D8C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הוראה</w:t>
            </w:r>
          </w:p>
        </w:tc>
        <w:tc>
          <w:tcPr>
            <w:tcW w:w="2665" w:type="dxa"/>
            <w:shd w:val="clear" w:color="auto" w:fill="0B769F" w:themeFill="accent4" w:themeFillShade="BF"/>
          </w:tcPr>
          <w:p w14:paraId="21F4D446" w14:textId="6CFC69CC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סתירה/פער</w:t>
            </w:r>
          </w:p>
        </w:tc>
        <w:tc>
          <w:tcPr>
            <w:tcW w:w="3628" w:type="dxa"/>
            <w:shd w:val="clear" w:color="auto" w:fill="0B769F" w:themeFill="accent4" w:themeFillShade="BF"/>
          </w:tcPr>
          <w:p w14:paraId="488047B6" w14:textId="3552ECBA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נימוק משפטי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EA2FB86" w14:textId="1DC4601E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סיכון</w:t>
            </w:r>
          </w:p>
        </w:tc>
      </w:tr>
      <w:tr w:rsidR="003166C9" w14:paraId="1126A824" w14:textId="77777777" w:rsidTr="003166C9">
        <w:trPr>
          <w:jc w:val="center"/>
        </w:trPr>
        <w:tc>
          <w:tcPr>
            <w:tcW w:w="1460" w:type="dxa"/>
          </w:tcPr>
          <w:p w14:paraId="210E2707" w14:textId="22059E2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היעדר איסור מפורש על שאלות אסורות בראיונות</w:t>
            </w:r>
          </w:p>
        </w:tc>
        <w:tc>
          <w:tcPr>
            <w:tcW w:w="2665" w:type="dxa"/>
          </w:tcPr>
          <w:p w14:paraId="36FC01B9" w14:textId="684A0FA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נ</w:t>
            </w:r>
            <w:r>
              <w:rPr>
                <w:rFonts w:ascii="Segoe UI" w:hAnsi="Segoe UI" w:cs="Segoe UI" w:hint="cs"/>
                <w:rtl/>
                <w:lang w:bidi="he-IL"/>
              </w:rPr>
              <w:t>ו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הל החברה אינם כוללים הוראה מפורשת האוסרת על שאלות ראיון הנחשבות שאלות מפלות או בעלות משקל ראייתי (כגון היריון, מצב משפחתי, דת, שירות מילואים וכד’)</w:t>
            </w:r>
          </w:p>
        </w:tc>
        <w:tc>
          <w:tcPr>
            <w:tcW w:w="3628" w:type="dxa"/>
          </w:tcPr>
          <w:p w14:paraId="7CDAE94D" w14:textId="4829737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 xml:space="preserve">על פי הדין, עצם שאלת שאלות כאלה עלולה להיחשב ראיה לאפליה אסורה, גם אם לא הוכחה אפליה בפועל. היעדר איסור והנחיה מפורשת בנוהל </w:t>
            </w:r>
            <w:r>
              <w:rPr>
                <w:rFonts w:ascii="Segoe UI" w:hAnsi="Segoe UI" w:cs="Segoe UI" w:hint="cs"/>
                <w:rtl/>
                <w:lang w:bidi="he-IL"/>
              </w:rPr>
              <w:t xml:space="preserve"> מ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הווה אי</w:t>
            </w:r>
            <w:r w:rsidRPr="004F4BB4">
              <w:rPr>
                <w:rFonts w:ascii="Segoe UI" w:hAnsi="Segoe UI" w:cs="Segoe UI"/>
                <w:rtl/>
                <w:lang w:bidi="he-IL"/>
              </w:rPr>
              <w:noBreakHyphen/>
              <w:t>התאמה לחובת המעסיק לנקוט אמצעים למניעת אפליה</w:t>
            </w:r>
          </w:p>
        </w:tc>
        <w:tc>
          <w:tcPr>
            <w:tcW w:w="2324" w:type="dxa"/>
          </w:tcPr>
          <w:p w14:paraId="0C97ECB0" w14:textId="1E178806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קיים סיכון משפטי ממשי, שכן הנוהל אינו מגן על החברה מפני טענות להפרת חוק שוויון הזדמנויות בעבודה</w:t>
            </w:r>
          </w:p>
        </w:tc>
      </w:tr>
      <w:tr w:rsidR="003166C9" w14:paraId="3D1A7EA0" w14:textId="77777777" w:rsidTr="003166C9">
        <w:trPr>
          <w:jc w:val="center"/>
        </w:trPr>
        <w:tc>
          <w:tcPr>
            <w:tcW w:w="1460" w:type="dxa"/>
          </w:tcPr>
          <w:p w14:paraId="130D19AA" w14:textId="5645EA4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מנגנון “מינוי בהסכמה” ללא הליך תחרותי מלא</w:t>
            </w:r>
          </w:p>
        </w:tc>
        <w:tc>
          <w:tcPr>
            <w:tcW w:w="2665" w:type="dxa"/>
          </w:tcPr>
          <w:p w14:paraId="789E4527" w14:textId="01F601C6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מאפשר מינוי בהסכמה בין הנהלה לוועד בתוך פרק זמן קצר, ללא חובת מכרז או בחינה שוויונית של מועמדים נוספים</w:t>
            </w:r>
          </w:p>
        </w:tc>
        <w:tc>
          <w:tcPr>
            <w:tcW w:w="3628" w:type="dxa"/>
          </w:tcPr>
          <w:p w14:paraId="6ACFE46C" w14:textId="405997D5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דין העבודה מחייב הליך שוויוני ותחרותי, במיוחד בגופים ציבוריים/דו</w:t>
            </w:r>
            <w:r w:rsidRPr="009D0D8C">
              <w:rPr>
                <w:rFonts w:ascii="Segoe UI" w:hAnsi="Segoe UI" w:cs="Segoe UI"/>
                <w:rtl/>
                <w:lang w:bidi="he-IL"/>
              </w:rPr>
              <w:noBreakHyphen/>
              <w:t>מהותיים. מנגנון המאפשר איוש משרה ללא פתיחת ההזדמנות לכלל המועמדים עלול להיחשב פגיעה בעקרון השוויון וההגינות</w:t>
            </w:r>
          </w:p>
        </w:tc>
        <w:tc>
          <w:tcPr>
            <w:tcW w:w="2324" w:type="dxa"/>
          </w:tcPr>
          <w:p w14:paraId="638E3F3B" w14:textId="59418A54" w:rsidR="00C90572" w:rsidRPr="009D0D8C" w:rsidRDefault="003166C9" w:rsidP="00C90572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הנוהל, בנוסחו הקיים, עלול לאפשר עקיפה של חובת שוויון ההזדמנויות, בניגוד לרוח ולפסיקת הדין</w:t>
            </w:r>
            <w:r w:rsidR="00C90572">
              <w:rPr>
                <w:rFonts w:ascii="Segoe UI" w:hAnsi="Segoe UI" w:cs="Segoe UI" w:hint="cs"/>
                <w:rtl/>
                <w:lang w:bidi="he-IL"/>
              </w:rPr>
              <w:t xml:space="preserve">, </w:t>
            </w:r>
            <w:r w:rsidR="00C90572" w:rsidRPr="00C90572">
              <w:rPr>
                <w:rFonts w:ascii="Segoe UI" w:hAnsi="Segoe UI" w:cs="Segoe UI"/>
                <w:rtl/>
                <w:lang w:bidi="he-IL"/>
              </w:rPr>
              <w:t>תביעות עתירה לבג"ץ/בית דין לעבודה, הפרת הסכם קיבוצי</w:t>
            </w:r>
          </w:p>
        </w:tc>
      </w:tr>
      <w:tr w:rsidR="003166C9" w14:paraId="15F8D114" w14:textId="77777777" w:rsidTr="003166C9">
        <w:trPr>
          <w:jc w:val="center"/>
        </w:trPr>
        <w:tc>
          <w:tcPr>
            <w:tcW w:w="1460" w:type="dxa"/>
          </w:tcPr>
          <w:p w14:paraId="3C789ED6" w14:textId="2F30D98D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בדיקה ביטחונית ללא הגבלת עיתוי והיקף</w:t>
            </w:r>
          </w:p>
        </w:tc>
        <w:tc>
          <w:tcPr>
            <w:tcW w:w="2665" w:type="dxa"/>
          </w:tcPr>
          <w:p w14:paraId="7A7241FE" w14:textId="2BE28F90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מחייב מילוי שאלון התאמה ביטחונית למועמד נבחר, אך אינו מגדיר גבולות ברורים באשר לסוג המידע, מידת הרלוונטיות לתפקיד או עיתוי הבדיקה ביחס להצעת העבודה</w:t>
            </w:r>
          </w:p>
        </w:tc>
        <w:tc>
          <w:tcPr>
            <w:tcW w:w="3628" w:type="dxa"/>
          </w:tcPr>
          <w:p w14:paraId="0C5AADB4" w14:textId="5967DBA9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לפי הדין, דרישת מידע אישי/רגיש מותרת רק אם היא מידתית, רלוונטית והכרחית לביצוע התפקיד. היעדר הגדרה בנוהל יוצר חשש לדרישת מידע עודף או בלתי חוקי</w:t>
            </w:r>
          </w:p>
        </w:tc>
        <w:tc>
          <w:tcPr>
            <w:tcW w:w="2324" w:type="dxa"/>
          </w:tcPr>
          <w:p w14:paraId="6002D2F4" w14:textId="249A2F8F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קיים סיכון לפגיעה בפרטיות ולהפרת דיני הגנת הפרטיות ודיני העבודה</w:t>
            </w:r>
          </w:p>
        </w:tc>
      </w:tr>
    </w:tbl>
    <w:p w14:paraId="7BED123C" w14:textId="5835F36F" w:rsidR="004F4BB4" w:rsidRPr="004F4BB4" w:rsidRDefault="004F4BB4" w:rsidP="009D0D8C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50E19111" w14:textId="28C8D932" w:rsidR="004F4BB4" w:rsidRPr="009D0D8C" w:rsidRDefault="004F4BB4" w:rsidP="004F4BB4">
      <w:pPr>
        <w:bidi/>
        <w:spacing w:after="120" w:line="33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9D0D8C"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  <w:t xml:space="preserve">סיכום </w:t>
      </w:r>
    </w:p>
    <w:p w14:paraId="78872119" w14:textId="77777777" w:rsidR="004F4BB4" w:rsidRPr="009D0D8C" w:rsidRDefault="004F4BB4" w:rsidP="009D0D8C">
      <w:p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הבדיקה העלתה כי אין סתירה רוחבית, אך קיימים שלושה פערים מהותיים המחייבים עדכון נהלים:</w:t>
      </w:r>
    </w:p>
    <w:p w14:paraId="730DB9CF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היעדר איסור והנחיה מפורשת לגבי שאלות אסורות בראיונות.</w:t>
      </w:r>
    </w:p>
    <w:p w14:paraId="709E329B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אפשרות למינוי ללא הליך תחרותי מלא (“מינוי בהסכמה”).</w:t>
      </w:r>
    </w:p>
    <w:p w14:paraId="0008609E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חוסר הסדרה מידתית וברורה של בדיקות ביטחוניות</w:t>
      </w:r>
    </w:p>
    <w:p w14:paraId="01BC7A40" w14:textId="77777777" w:rsidR="004F4BB4" w:rsidRDefault="004F4BB4" w:rsidP="004F4BB4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61A9BF73" w14:textId="77777777" w:rsidR="006810DF" w:rsidRDefault="006810DF" w:rsidP="006B5667">
      <w:pPr>
        <w:bidi/>
        <w:spacing w:after="120" w:line="27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086886CD" w14:textId="29FE0841" w:rsidR="006810DF" w:rsidRPr="00C61280" w:rsidRDefault="006810DF" w:rsidP="006B5667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u w:val="single"/>
          <w:rtl/>
          <w:lang w:bidi="he-IL"/>
        </w:rPr>
      </w:pPr>
      <w:r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המלצות לעדכון ושיפור נוהל גיוס ואיוש משרות בחברה-</w:t>
      </w:r>
      <w:r w:rsidR="00C61280"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סקירה והמלצות מבוססות מקורות מקצועיים </w:t>
      </w:r>
    </w:p>
    <w:p w14:paraId="5A82D4F9" w14:textId="6403635A" w:rsidR="00A92AD7" w:rsidRPr="006810DF" w:rsidRDefault="00C61280" w:rsidP="006B5667">
      <w:pPr>
        <w:bidi/>
        <w:spacing w:after="120" w:line="276" w:lineRule="auto"/>
        <w:rPr>
          <w:rFonts w:ascii="Segoe UI" w:hAnsi="Segoe UI" w:cs="Segoe UI"/>
          <w:bCs/>
          <w:u w:val="single"/>
          <w:lang w:bidi="he-IL"/>
        </w:rPr>
      </w:pPr>
      <w:r>
        <w:rPr>
          <w:rFonts w:ascii="Segoe UI" w:hAnsi="Segoe UI" w:cs="Segoe UI" w:hint="cs"/>
          <w:bCs/>
          <w:u w:val="single"/>
          <w:rtl/>
          <w:lang w:bidi="he-IL"/>
        </w:rPr>
        <w:t>רקע</w:t>
      </w:r>
    </w:p>
    <w:p w14:paraId="68314B8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21-21-21, </w:t>
      </w:r>
      <w:proofErr w:type="spellStart"/>
      <w:r w:rsidRPr="006810DF">
        <w:rPr>
          <w:rFonts w:ascii="Segoe UI" w:hAnsi="Segoe UI" w:cs="Segoe UI"/>
          <w:rtl/>
        </w:rPr>
        <w:t>מהדורת</w:t>
      </w:r>
      <w:proofErr w:type="spellEnd"/>
      <w:r w:rsidRPr="006810DF">
        <w:rPr>
          <w:rFonts w:ascii="Segoe UI" w:hAnsi="Segoe UI" w:cs="Segoe UI"/>
          <w:rtl/>
        </w:rPr>
        <w:t xml:space="preserve"> 3.0 </w:t>
      </w:r>
      <w:proofErr w:type="spellStart"/>
      <w:r w:rsidRPr="006810DF">
        <w:rPr>
          <w:rFonts w:ascii="Segoe UI" w:hAnsi="Segoe UI" w:cs="Segoe UI"/>
          <w:rtl/>
        </w:rPr>
        <w:t>שאושרה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המנכ"ל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</w:t>
      </w:r>
      <w:proofErr w:type="spellEnd"/>
      <w:r w:rsidRPr="006810DF">
        <w:rPr>
          <w:rFonts w:ascii="Segoe UI" w:hAnsi="Segoe UI" w:cs="Segoe UI"/>
          <w:rtl/>
        </w:rPr>
        <w:t xml:space="preserve"> שמעון בן חמו)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שגובשו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וסריקה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מסמכים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בזמנו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בציפיות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באופן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מנהלים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האיתור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והקליטה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2AF8D8" w14:textId="7ADE1D70" w:rsidR="00A92AD7" w:rsidRPr="006810DF" w:rsidRDefault="006810DF" w:rsidP="006B5667">
      <w:pPr>
        <w:bidi/>
        <w:spacing w:after="280" w:line="276" w:lineRule="auto"/>
        <w:rPr>
          <w:rFonts w:ascii="Segoe UI" w:hAnsi="Segoe UI" w:cs="Segoe UI"/>
        </w:rPr>
      </w:pPr>
      <w:r>
        <w:rPr>
          <w:rFonts w:ascii="Segoe UI" w:hAnsi="Segoe UI" w:cs="Segoe UI" w:hint="cs"/>
          <w:rtl/>
          <w:lang w:bidi="he-IL"/>
        </w:rPr>
        <w:t>להלן</w:t>
      </w:r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מספר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כיווני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שיפור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מבוססי-מחקר</w:t>
      </w:r>
      <w:proofErr w:type="spellEnd"/>
      <w:r w:rsidR="003B4B88" w:rsidRPr="006810DF">
        <w:rPr>
          <w:rFonts w:ascii="Segoe UI" w:hAnsi="Segoe UI" w:cs="Segoe UI"/>
          <w:rtl/>
        </w:rPr>
        <w:t xml:space="preserve">, </w:t>
      </w:r>
      <w:proofErr w:type="spellStart"/>
      <w:r w:rsidR="003B4B88" w:rsidRPr="006810DF">
        <w:rPr>
          <w:rFonts w:ascii="Segoe UI" w:hAnsi="Segoe UI" w:cs="Segoe UI"/>
          <w:rtl/>
        </w:rPr>
        <w:t>שמטרתם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לעדכן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הנוהל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ולקרב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אותו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לפרקטיקה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הנהוגה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בארגונים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גדולים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בישראל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ובעולם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ההמלצות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נכתבו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מתוך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במגבלות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הייחודיות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לחברת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מקורות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חברה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ממשלתית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הכפופה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להסכם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קיבוצי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ולתקנות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רשות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החברות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הממשלתיות</w:t>
      </w:r>
      <w:proofErr w:type="spellEnd"/>
      <w:r w:rsidR="003B4B88" w:rsidRPr="006810DF">
        <w:rPr>
          <w:rFonts w:ascii="Segoe UI" w:hAnsi="Segoe UI" w:cs="Segoe UI"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rtl/>
        </w:rPr>
        <w:t>ולכן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המלצה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כאן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ניתנת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ליישום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בהדרגה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ובכפוף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לאישורים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הרגולטוריים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הנדרשים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rtl/>
        </w:rPr>
        <w:t>בסוף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סעיף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מצוינים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המקורות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שעליהם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נשענת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ההמלצה</w:t>
      </w:r>
      <w:proofErr w:type="spellEnd"/>
      <w:r w:rsidR="003B4B88" w:rsidRPr="006810DF">
        <w:rPr>
          <w:rFonts w:ascii="Segoe UI" w:hAnsi="Segoe UI" w:cs="Segoe UI"/>
          <w:rtl/>
        </w:rPr>
        <w:t>.</w:t>
      </w:r>
    </w:p>
    <w:p w14:paraId="799953E7" w14:textId="6D31259B" w:rsidR="00A92AD7" w:rsidRPr="006810DF" w:rsidRDefault="003B4B88" w:rsidP="006B5667">
      <w:pPr>
        <w:pStyle w:val="ListParagraph"/>
        <w:numPr>
          <w:ilvl w:val="0"/>
          <w:numId w:val="15"/>
        </w:numPr>
        <w:bidi/>
        <w:spacing w:after="80" w:line="276" w:lineRule="auto"/>
        <w:ind w:left="192" w:hanging="284"/>
        <w:rPr>
          <w:rFonts w:ascii="Segoe UI" w:hAnsi="Segoe UI" w:cs="Segoe UI"/>
          <w:bCs/>
        </w:rPr>
      </w:pPr>
      <w:proofErr w:type="spellStart"/>
      <w:r w:rsidRPr="006810DF">
        <w:rPr>
          <w:rFonts w:ascii="Segoe UI" w:hAnsi="Segoe UI" w:cs="Segoe UI"/>
          <w:bCs/>
          <w:rtl/>
        </w:rPr>
        <w:t>הטמעת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מערכת</w:t>
      </w:r>
      <w:proofErr w:type="spellEnd"/>
      <w:r w:rsidRPr="006810DF">
        <w:rPr>
          <w:rFonts w:ascii="Segoe UI" w:hAnsi="Segoe UI" w:cs="Segoe UI"/>
          <w:bCs/>
          <w:rtl/>
        </w:rPr>
        <w:t xml:space="preserve"> ATS </w:t>
      </w:r>
      <w:proofErr w:type="spellStart"/>
      <w:r w:rsidRPr="006810DF">
        <w:rPr>
          <w:rFonts w:ascii="Segoe UI" w:hAnsi="Segoe UI" w:cs="Segoe UI"/>
          <w:bCs/>
          <w:rtl/>
        </w:rPr>
        <w:t>לניהול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מועמדים</w:t>
      </w:r>
      <w:proofErr w:type="spellEnd"/>
    </w:p>
    <w:p w14:paraId="0A34B22B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הבעיות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המרכזיות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ההסתמכות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תואמת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פי </w:t>
      </w:r>
      <w:proofErr w:type="spellStart"/>
      <w:r w:rsidRPr="006810DF">
        <w:rPr>
          <w:rFonts w:ascii="Segoe UI" w:hAnsi="Segoe UI" w:cs="Segoe UI"/>
          <w:rtl/>
        </w:rPr>
        <w:t>נתוני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Jobscan</w:t>
      </w:r>
      <w:proofErr w:type="spellEnd"/>
      <w:r w:rsidRPr="006810DF">
        <w:rPr>
          <w:rFonts w:ascii="Segoe UI" w:hAnsi="Segoe UI" w:cs="Segoe UI"/>
          <w:rtl/>
        </w:rPr>
        <w:t xml:space="preserve">, כ-97.8% </w:t>
      </w:r>
      <w:proofErr w:type="spellStart"/>
      <w:r w:rsidRPr="006810DF">
        <w:rPr>
          <w:rFonts w:ascii="Segoe UI" w:hAnsi="Segoe UI" w:cs="Segoe UI"/>
          <w:rtl/>
        </w:rPr>
        <w:t>מחברות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Fortune</w:t>
      </w:r>
      <w:proofErr w:type="spellEnd"/>
      <w:r w:rsidRPr="006810DF">
        <w:rPr>
          <w:rFonts w:ascii="Segoe UI" w:hAnsi="Segoe UI" w:cs="Segoe UI"/>
          <w:rtl/>
        </w:rPr>
        <w:t xml:space="preserve"> 500 </w:t>
      </w:r>
      <w:proofErr w:type="spellStart"/>
      <w:r w:rsidRPr="006810DF">
        <w:rPr>
          <w:rFonts w:ascii="Segoe UI" w:hAnsi="Segoe UI" w:cs="Segoe UI"/>
          <w:rtl/>
        </w:rPr>
        <w:t>משתמשות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במערכת</w:t>
      </w:r>
      <w:proofErr w:type="spellEnd"/>
      <w:r w:rsidRPr="006810DF">
        <w:rPr>
          <w:rFonts w:ascii="Segoe UI" w:hAnsi="Segoe UI" w:cs="Segoe UI"/>
          <w:rtl/>
        </w:rPr>
        <w:t xml:space="preserve"> ATS (</w:t>
      </w:r>
      <w:proofErr w:type="spellStart"/>
      <w:r w:rsidRPr="006810DF">
        <w:rPr>
          <w:rFonts w:ascii="Segoe UI" w:hAnsi="Segoe UI" w:cs="Segoe UI"/>
          <w:rtl/>
        </w:rPr>
        <w:t>Applicant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Tracking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System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נאמד</w:t>
      </w:r>
      <w:proofErr w:type="spellEnd"/>
      <w:r w:rsidRPr="006810DF">
        <w:rPr>
          <w:rFonts w:ascii="Segoe UI" w:hAnsi="Segoe UI" w:cs="Segoe UI"/>
          <w:rtl/>
        </w:rPr>
        <w:t xml:space="preserve"> ב-3.28 </w:t>
      </w:r>
      <w:proofErr w:type="spellStart"/>
      <w:r w:rsidRPr="006810DF">
        <w:rPr>
          <w:rFonts w:ascii="Segoe UI" w:hAnsi="Segoe UI" w:cs="Segoe UI"/>
          <w:rtl/>
        </w:rPr>
        <w:t>מיליארד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דולר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לשנת</w:t>
      </w:r>
      <w:proofErr w:type="spellEnd"/>
      <w:r w:rsidRPr="006810DF">
        <w:rPr>
          <w:rFonts w:ascii="Segoe UI" w:hAnsi="Segoe UI" w:cs="Segoe UI"/>
          <w:rtl/>
        </w:rPr>
        <w:t xml:space="preserve"> 2025.</w:t>
      </w:r>
    </w:p>
    <w:p w14:paraId="22A3C8C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–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Greenhouse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Workable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Zoho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Recruit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מאפשרת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חיים,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מפתח</w:t>
      </w:r>
      <w:proofErr w:type="spellEnd"/>
      <w:r w:rsidRPr="006810DF">
        <w:rPr>
          <w:rFonts w:ascii="Segoe UI" w:hAnsi="Segoe UI" w:cs="Segoe UI"/>
          <w:rtl/>
        </w:rPr>
        <w:t xml:space="preserve">, תקשורת </w:t>
      </w:r>
      <w:proofErr w:type="spellStart"/>
      <w:r w:rsidRPr="006810DF">
        <w:rPr>
          <w:rFonts w:ascii="Segoe UI" w:hAnsi="Segoe UI" w:cs="Segoe UI"/>
          <w:rtl/>
        </w:rPr>
        <w:t>אוטומטית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תיעוד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הטמעת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כתשתית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והתיקים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בחירת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צריכה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להיעשות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בצורכי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ובאינטגרציה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05B4E9F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Jobscan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Fortune</w:t>
      </w:r>
      <w:proofErr w:type="spellEnd"/>
      <w:r w:rsidRPr="006810DF">
        <w:rPr>
          <w:rFonts w:ascii="Segoe UI" w:hAnsi="Segoe UI" w:cs="Segoe UI"/>
          <w:i/>
          <w:rtl/>
        </w:rPr>
        <w:t xml:space="preserve"> 500 </w:t>
      </w:r>
      <w:proofErr w:type="spellStart"/>
      <w:r w:rsidRPr="006810DF">
        <w:rPr>
          <w:rFonts w:ascii="Segoe UI" w:hAnsi="Segoe UI" w:cs="Segoe UI"/>
          <w:i/>
          <w:rtl/>
        </w:rPr>
        <w:t>Analysis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G2 </w:t>
      </w:r>
      <w:proofErr w:type="spellStart"/>
      <w:r w:rsidRPr="006810DF">
        <w:rPr>
          <w:rFonts w:ascii="Segoe UI" w:hAnsi="Segoe UI" w:cs="Segoe UI"/>
          <w:i/>
          <w:rtl/>
        </w:rPr>
        <w:t>Winter</w:t>
      </w:r>
      <w:proofErr w:type="spellEnd"/>
      <w:r w:rsidRPr="006810DF">
        <w:rPr>
          <w:rFonts w:ascii="Segoe UI" w:hAnsi="Segoe UI" w:cs="Segoe UI"/>
          <w:i/>
          <w:rtl/>
        </w:rPr>
        <w:t xml:space="preserve"> 2026 ATS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9E3DDB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2. </w:t>
      </w:r>
      <w:proofErr w:type="spellStart"/>
      <w:r w:rsidRPr="00C61280">
        <w:rPr>
          <w:rFonts w:ascii="Segoe UI" w:hAnsi="Segoe UI" w:cs="Segoe UI"/>
          <w:bCs/>
          <w:rtl/>
        </w:rPr>
        <w:t>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נתונים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ומדדי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ביצוע</w:t>
      </w:r>
      <w:proofErr w:type="spellEnd"/>
    </w:p>
    <w:p w14:paraId="45BC7E0F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לאיכות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שנקלטו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בהיעדר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אובייקטיבית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עובד טוב </w:t>
      </w:r>
      <w:proofErr w:type="spellStart"/>
      <w:r w:rsidRPr="006810DF">
        <w:rPr>
          <w:rFonts w:ascii="Segoe UI" w:hAnsi="Segoe UI" w:cs="Segoe UI"/>
          <w:rtl/>
        </w:rPr>
        <w:t>ואיפה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בקבוק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B3CD47F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Time-to-</w:t>
      </w:r>
      <w:proofErr w:type="gramStart"/>
      <w:r w:rsidRPr="006810DF">
        <w:rPr>
          <w:rFonts w:ascii="Segoe UI" w:hAnsi="Segoe UI" w:cs="Segoe UI"/>
          <w:rtl/>
        </w:rPr>
        <w:t>Fill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Cost-per-</w:t>
      </w:r>
      <w:proofErr w:type="gram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Quality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of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הנמדדת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מהתהליך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ידווחו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ברבעון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להנהלת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אגף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ויובאו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לידיעת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הבכירה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כ-44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לשמש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7B0FE2E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2024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C13EFDE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3. </w:t>
      </w:r>
      <w:proofErr w:type="spellStart"/>
      <w:r w:rsidRPr="00C61280">
        <w:rPr>
          <w:rFonts w:ascii="Segoe UI" w:hAnsi="Segoe UI" w:cs="Segoe UI"/>
          <w:bCs/>
          <w:rtl/>
        </w:rPr>
        <w:t>שילוב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בינה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מלאכותית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בתהליכי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הסינון</w:t>
      </w:r>
      <w:proofErr w:type="spellEnd"/>
    </w:p>
    <w:p w14:paraId="23E60A97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SHRM </w:t>
      </w:r>
      <w:proofErr w:type="spellStart"/>
      <w:r w:rsidRPr="006810DF">
        <w:rPr>
          <w:rFonts w:ascii="Segoe UI" w:hAnsi="Segoe UI" w:cs="Segoe UI"/>
          <w:rtl/>
        </w:rPr>
        <w:t>משנת</w:t>
      </w:r>
      <w:proofErr w:type="spellEnd"/>
      <w:r w:rsidRPr="006810DF">
        <w:rPr>
          <w:rFonts w:ascii="Segoe UI" w:hAnsi="Segoe UI" w:cs="Segoe UI"/>
          <w:rtl/>
        </w:rPr>
        <w:t xml:space="preserve"> 2025, כ-43% </w:t>
      </w:r>
      <w:proofErr w:type="spellStart"/>
      <w:r w:rsidRPr="006810DF">
        <w:rPr>
          <w:rFonts w:ascii="Segoe UI" w:hAnsi="Segoe UI" w:cs="Segoe UI"/>
          <w:rtl/>
        </w:rPr>
        <w:t>מהארגונים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משתמשים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עלייה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26% </w:t>
      </w:r>
      <w:proofErr w:type="spellStart"/>
      <w:r w:rsidRPr="006810DF">
        <w:rPr>
          <w:rFonts w:ascii="Segoe UI" w:hAnsi="Segoe UI" w:cs="Segoe UI"/>
          <w:rtl/>
        </w:rPr>
        <w:t>בשנת</w:t>
      </w:r>
      <w:proofErr w:type="spellEnd"/>
      <w:r w:rsidRPr="006810DF">
        <w:rPr>
          <w:rFonts w:ascii="Segoe UI" w:hAnsi="Segoe UI" w:cs="Segoe UI"/>
          <w:rtl/>
        </w:rPr>
        <w:t xml:space="preserve"> 2024. </w:t>
      </w:r>
      <w:proofErr w:type="spellStart"/>
      <w:r w:rsidRPr="006810DF">
        <w:rPr>
          <w:rFonts w:ascii="Segoe UI" w:hAnsi="Segoe UI" w:cs="Segoe UI"/>
          <w:rtl/>
        </w:rPr>
        <w:t>השימוש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מתפרס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תחומים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(</w:t>
      </w:r>
      <w:proofErr w:type="spellStart"/>
      <w:r w:rsidRPr="006810DF">
        <w:rPr>
          <w:rFonts w:ascii="Segoe UI" w:hAnsi="Segoe UI" w:cs="Segoe UI"/>
          <w:rtl/>
        </w:rPr>
        <w:t>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עד 75%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94% </w:t>
      </w:r>
      <w:proofErr w:type="spellStart"/>
      <w:r w:rsidRPr="006810DF">
        <w:rPr>
          <w:rFonts w:ascii="Segoe UI" w:hAnsi="Segoe UI" w:cs="Segoe UI"/>
          <w:rtl/>
        </w:rPr>
        <w:t>בזיהוי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התאמה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דירוג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וצ'אטבוטים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B310EE8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להדגיש</w:t>
      </w:r>
      <w:proofErr w:type="spellEnd"/>
      <w:r w:rsidRPr="006810DF">
        <w:rPr>
          <w:rFonts w:ascii="Segoe UI" w:hAnsi="Segoe UI" w:cs="Segoe UI"/>
          <w:rtl/>
        </w:rPr>
        <w:t xml:space="preserve"> – AI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הגורם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האנושי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למעלה</w:t>
      </w:r>
      <w:proofErr w:type="spellEnd"/>
      <w:r w:rsidRPr="006810DF">
        <w:rPr>
          <w:rFonts w:ascii="Segoe UI" w:hAnsi="Segoe UI" w:cs="Segoe UI"/>
          <w:rtl/>
        </w:rPr>
        <w:t xml:space="preserve"> מ-90% </w:t>
      </w:r>
      <w:proofErr w:type="spellStart"/>
      <w:r w:rsidRPr="006810DF">
        <w:rPr>
          <w:rFonts w:ascii="Segoe UI" w:hAnsi="Segoe UI" w:cs="Segoe UI"/>
          <w:rtl/>
        </w:rPr>
        <w:t>ממנהלי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שההכרעה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הסופית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נשארת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האדם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ולצמצום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בסינון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AI </w:t>
      </w:r>
      <w:proofErr w:type="spellStart"/>
      <w:r w:rsidRPr="006810DF">
        <w:rPr>
          <w:rFonts w:ascii="Segoe UI" w:hAnsi="Segoe UI" w:cs="Segoe UI"/>
          <w:rtl/>
        </w:rPr>
        <w:t>לסינון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למשל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הנדסאים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טכנאים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בקריטריונים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בדיקת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תקופתית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האלגוריתם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15C222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2025 AI </w:t>
      </w:r>
      <w:proofErr w:type="spellStart"/>
      <w:r w:rsidRPr="006810DF">
        <w:rPr>
          <w:rFonts w:ascii="Segoe UI" w:hAnsi="Segoe UI" w:cs="Segoe UI"/>
          <w:i/>
          <w:rtl/>
        </w:rPr>
        <w:t>in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Survey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2025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Tech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1C562C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4.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לראיונות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מובנים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Structured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Interviews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C6A35C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ש"מועמד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הועדה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מתודולוגיה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המצב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שתלויים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המראיינים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ולעיתים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בפרמטרים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שאינם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19D8E20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Schmidt</w:t>
      </w:r>
      <w:proofErr w:type="spellEnd"/>
      <w:r w:rsidRPr="006810DF">
        <w:rPr>
          <w:rFonts w:ascii="Segoe UI" w:hAnsi="Segoe UI" w:cs="Segoe UI"/>
          <w:rtl/>
        </w:rPr>
        <w:t xml:space="preserve"> &amp; </w:t>
      </w:r>
      <w:proofErr w:type="spellStart"/>
      <w:r w:rsidRPr="006810DF">
        <w:rPr>
          <w:rFonts w:ascii="Segoe UI" w:hAnsi="Segoe UI" w:cs="Segoe UI"/>
          <w:rtl/>
        </w:rPr>
        <w:t>Hunter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היסודי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בתחום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הראה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כפולה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כמעט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תוקף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0.51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0.38 </w:t>
      </w:r>
      <w:proofErr w:type="spellStart"/>
      <w:r w:rsidRPr="006810DF">
        <w:rPr>
          <w:rFonts w:ascii="Segoe UI" w:hAnsi="Segoe UI" w:cs="Segoe UI"/>
          <w:rtl/>
        </w:rPr>
        <w:t>בראיון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גוגל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proofErr w:type="gramStart"/>
      <w:r w:rsidRPr="006810DF">
        <w:rPr>
          <w:rFonts w:ascii="Segoe UI" w:hAnsi="Segoe UI" w:cs="Segoe UI"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מסקנה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בדרך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1–5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עוגני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התנהגות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עצמאית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המשותף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622702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חדש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מנהלי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מקצועי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טכני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בסולם</w:t>
      </w:r>
      <w:proofErr w:type="spellEnd"/>
      <w:r w:rsidRPr="006810DF">
        <w:rPr>
          <w:rFonts w:ascii="Segoe UI" w:hAnsi="Segoe UI" w:cs="Segoe UI"/>
          <w:rtl/>
        </w:rPr>
        <w:t xml:space="preserve"> 1–5,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שיטת</w:t>
      </w:r>
      <w:proofErr w:type="spellEnd"/>
      <w:r w:rsidRPr="006810DF">
        <w:rPr>
          <w:rFonts w:ascii="Segoe UI" w:hAnsi="Segoe UI" w:cs="Segoe UI"/>
          <w:rtl/>
        </w:rPr>
        <w:t xml:space="preserve"> STAR (</w:t>
      </w:r>
      <w:proofErr w:type="spellStart"/>
      <w:r w:rsidRPr="006810DF">
        <w:rPr>
          <w:rFonts w:ascii="Segoe UI" w:hAnsi="Segoe UI" w:cs="Segoe UI"/>
          <w:rtl/>
        </w:rPr>
        <w:t>Situation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Task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Action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Result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לשיפור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ההחלטה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מצמצם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7F593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Schmidt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Hunter</w:t>
      </w:r>
      <w:proofErr w:type="spellEnd"/>
      <w:r w:rsidRPr="006810DF">
        <w:rPr>
          <w:rFonts w:ascii="Segoe UI" w:hAnsi="Segoe UI" w:cs="Segoe UI"/>
          <w:i/>
          <w:rtl/>
        </w:rPr>
        <w:t xml:space="preserve"> (1998, </w:t>
      </w:r>
      <w:proofErr w:type="gramStart"/>
      <w:r w:rsidRPr="006810DF">
        <w:rPr>
          <w:rFonts w:ascii="Segoe UI" w:hAnsi="Segoe UI" w:cs="Segoe UI"/>
          <w:i/>
          <w:rtl/>
        </w:rPr>
        <w:t>2016),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Note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Structured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Interviewing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spellStart"/>
      <w:r w:rsidRPr="006810DF">
        <w:rPr>
          <w:rFonts w:ascii="Segoe UI" w:hAnsi="Segoe UI" w:cs="Segoe UI"/>
          <w:i/>
          <w:rtl/>
        </w:rPr>
        <w:t>Bernstein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Ross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gramStart"/>
      <w:r w:rsidRPr="006810DF">
        <w:rPr>
          <w:rFonts w:ascii="Segoe UI" w:hAnsi="Segoe UI" w:cs="Segoe UI"/>
          <w:i/>
          <w:rtl/>
        </w:rPr>
        <w:t>2019),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Google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i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i/>
          <w:rtl/>
        </w:rPr>
        <w:t>.</w:t>
      </w:r>
    </w:p>
    <w:p w14:paraId="148E2C29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5. </w:t>
      </w:r>
      <w:proofErr w:type="spellStart"/>
      <w:r w:rsidRPr="00C61280">
        <w:rPr>
          <w:rFonts w:ascii="Segoe UI" w:hAnsi="Segoe UI" w:cs="Segoe UI"/>
          <w:bCs/>
          <w:rtl/>
        </w:rPr>
        <w:t>הרחבת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ערוצי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לעולם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הדיגיטלי</w:t>
      </w:r>
      <w:proofErr w:type="spellEnd"/>
    </w:p>
    <w:p w14:paraId="2D40D592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סעיף</w:t>
      </w:r>
      <w:proofErr w:type="spellEnd"/>
      <w:r w:rsidRPr="006810DF">
        <w:rPr>
          <w:rFonts w:ascii="Segoe UI" w:hAnsi="Segoe UI" w:cs="Segoe UI"/>
          <w:rtl/>
        </w:rPr>
        <w:t xml:space="preserve"> 4.4.5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קובע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מכרז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חיצוני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יבוצע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נפוץ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האינטרנט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". </w:t>
      </w:r>
      <w:proofErr w:type="spellStart"/>
      <w:r w:rsidRPr="006810DF">
        <w:rPr>
          <w:rFonts w:ascii="Segoe UI" w:hAnsi="Segoe UI" w:cs="Segoe UI"/>
          <w:rtl/>
        </w:rPr>
        <w:t>המציאות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בשטח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וגדל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דיגיטליים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לינקדאין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AllJobs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Drushim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JobMaster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ובמידה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מסוימת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והפניות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B4E101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ש-73%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פסיביים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מחפשים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פתוחים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אליהם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אפקטיבי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ולהחליף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באסטרטגיה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רב-ערוצית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בלינקדאין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מובילים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Referral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תמריץ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נקלט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האפקטיביים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באיכות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CCD0CB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Solutions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Recruitment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Strategies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116D9CB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6. </w:t>
      </w:r>
      <w:proofErr w:type="spellStart"/>
      <w:r w:rsidRPr="00C61280">
        <w:rPr>
          <w:rFonts w:ascii="Segoe UI" w:hAnsi="Segoe UI" w:cs="Segoe UI"/>
          <w:bCs/>
          <w:rtl/>
        </w:rPr>
        <w:t>שיפור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חוויית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המועמד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Candidate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Experience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35215F29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מתמצה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שנבחר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עצמו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מתי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כמה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צפוי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לחלוף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תשובה</w:t>
      </w:r>
      <w:proofErr w:type="spellEnd"/>
      <w:r w:rsidRPr="006810DF">
        <w:rPr>
          <w:rFonts w:ascii="Segoe UI" w:hAnsi="Segoe UI" w:cs="Segoe UI"/>
          <w:rtl/>
        </w:rPr>
        <w:t>?</w:t>
      </w:r>
    </w:p>
    <w:p w14:paraId="5C4C8375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Gartner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ש-60%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נוטשים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מסובכים</w:t>
      </w:r>
      <w:proofErr w:type="spellEnd"/>
      <w:r w:rsidRPr="006810DF">
        <w:rPr>
          <w:rFonts w:ascii="Segoe UI" w:hAnsi="Segoe UI" w:cs="Segoe UI"/>
          <w:rtl/>
        </w:rPr>
        <w:t xml:space="preserve">, ו-26%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שקיבלו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ב-2024 </w:t>
      </w:r>
      <w:proofErr w:type="spellStart"/>
      <w:r w:rsidRPr="006810DF">
        <w:rPr>
          <w:rFonts w:ascii="Segoe UI" w:hAnsi="Segoe UI" w:cs="Segoe UI"/>
          <w:rtl/>
        </w:rPr>
        <w:t>דחו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בגלל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ממילא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7E5BF7F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בנושא</w:t>
      </w:r>
      <w:proofErr w:type="spellEnd"/>
      <w:r w:rsidRPr="006810DF">
        <w:rPr>
          <w:rFonts w:ascii="Segoe UI" w:hAnsi="Segoe UI" w:cs="Segoe UI"/>
          <w:rtl/>
        </w:rPr>
        <w:t xml:space="preserve"> "תקשורת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ולהגדיר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מינימלי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48 </w:t>
      </w:r>
      <w:proofErr w:type="spellStart"/>
      <w:r w:rsidRPr="006810DF">
        <w:rPr>
          <w:rFonts w:ascii="Segoe UI" w:hAnsi="Segoe UI" w:cs="Segoe UI"/>
          <w:rtl/>
        </w:rPr>
        <w:t>שעות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ל-14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הפחות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מתן </w:t>
      </w:r>
      <w:proofErr w:type="spellStart"/>
      <w:r w:rsidRPr="006810DF">
        <w:rPr>
          <w:rFonts w:ascii="Segoe UI" w:hAnsi="Segoe UI" w:cs="Segoe UI"/>
          <w:rtl/>
        </w:rPr>
        <w:t>משוב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ומכבד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נבחרו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אפשרות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מקוונת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ידידותית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למובייל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945B8F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Candidate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Experience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Workforce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2D5D8EF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7. </w:t>
      </w:r>
      <w:proofErr w:type="spellStart"/>
      <w:r w:rsidRPr="00C61280">
        <w:rPr>
          <w:rFonts w:ascii="Segoe UI" w:hAnsi="Segoe UI" w:cs="Segoe UI"/>
          <w:bCs/>
          <w:rtl/>
        </w:rPr>
        <w:t>גיוון</w:t>
      </w:r>
      <w:proofErr w:type="spellEnd"/>
      <w:r w:rsidRPr="00C61280">
        <w:rPr>
          <w:rFonts w:ascii="Segoe UI" w:hAnsi="Segoe UI" w:cs="Segoe UI"/>
          <w:bCs/>
          <w:rtl/>
        </w:rPr>
        <w:t xml:space="preserve">, </w:t>
      </w:r>
      <w:proofErr w:type="spellStart"/>
      <w:r w:rsidRPr="00C61280">
        <w:rPr>
          <w:rFonts w:ascii="Segoe UI" w:hAnsi="Segoe UI" w:cs="Segoe UI"/>
          <w:bCs/>
          <w:rtl/>
        </w:rPr>
        <w:t>שוויון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והכלה</w:t>
      </w:r>
      <w:proofErr w:type="spellEnd"/>
      <w:r w:rsidRPr="00C61280">
        <w:rPr>
          <w:rFonts w:ascii="Segoe UI" w:hAnsi="Segoe UI" w:cs="Segoe UI"/>
          <w:bCs/>
          <w:rtl/>
        </w:rPr>
        <w:t xml:space="preserve"> (DEI) </w:t>
      </w:r>
      <w:proofErr w:type="spellStart"/>
      <w:r w:rsidRPr="00C61280">
        <w:rPr>
          <w:rFonts w:ascii="Segoe UI" w:hAnsi="Segoe UI" w:cs="Segoe UI"/>
          <w:bCs/>
          <w:rtl/>
        </w:rPr>
        <w:t>בתהליך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</w:p>
    <w:p w14:paraId="10F036A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קרובי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הצהרת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קרבת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ייצוג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העסקת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אוכלוסיות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מהפריפריה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מיעוטים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שצריכות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ביטוי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A6E230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Deloitte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שכ-80%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שהיבטי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בחירתם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במעסיק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מחקרים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McKinsey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פיננסיים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מציגות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תוצאות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טובות</w:t>
      </w:r>
      <w:proofErr w:type="spellEnd"/>
      <w:r w:rsidRPr="006810DF">
        <w:rPr>
          <w:rFonts w:ascii="Segoe UI" w:hAnsi="Segoe UI" w:cs="Segoe UI"/>
          <w:rtl/>
        </w:rPr>
        <w:t xml:space="preserve"> ב-19% </w:t>
      </w:r>
      <w:proofErr w:type="spellStart"/>
      <w:r w:rsidRPr="006810DF">
        <w:rPr>
          <w:rFonts w:ascii="Segoe UI" w:hAnsi="Segoe UI" w:cs="Segoe UI"/>
          <w:rtl/>
        </w:rPr>
        <w:t>בממוצע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בענף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E4376E7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צעדים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לאמץ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מכילה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ונייטרלית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הרכב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ורקע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שילוב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יעדי</w:t>
      </w:r>
      <w:proofErr w:type="spellEnd"/>
      <w:r w:rsidRPr="006810DF">
        <w:rPr>
          <w:rFonts w:ascii="Segoe UI" w:hAnsi="Segoe UI" w:cs="Segoe UI"/>
          <w:rtl/>
        </w:rPr>
        <w:t xml:space="preserve"> DEI </w:t>
      </w:r>
      <w:proofErr w:type="spellStart"/>
      <w:r w:rsidRPr="006810DF">
        <w:rPr>
          <w:rFonts w:ascii="Segoe UI" w:hAnsi="Segoe UI" w:cs="Segoe UI"/>
          <w:rtl/>
        </w:rPr>
        <w:t>מדידים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מנגנון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עיוור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המיון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הסרת</w:t>
      </w:r>
      <w:proofErr w:type="spellEnd"/>
      <w:r w:rsidRPr="006810DF">
        <w:rPr>
          <w:rFonts w:ascii="Segoe UI" w:hAnsi="Segoe UI" w:cs="Segoe UI"/>
          <w:rtl/>
        </w:rPr>
        <w:t xml:space="preserve"> שם </w:t>
      </w:r>
      <w:proofErr w:type="spellStart"/>
      <w:r w:rsidRPr="006810DF">
        <w:rPr>
          <w:rFonts w:ascii="Segoe UI" w:hAnsi="Segoe UI" w:cs="Segoe UI"/>
          <w:rtl/>
        </w:rPr>
        <w:t>ומידע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מזהה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מתחברת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היטב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לקליטת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שתיהן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D3532D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Human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Capital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"</w:t>
      </w:r>
      <w:proofErr w:type="spellStart"/>
      <w:r w:rsidRPr="006810DF">
        <w:rPr>
          <w:rFonts w:ascii="Segoe UI" w:hAnsi="Segoe UI" w:cs="Segoe UI"/>
          <w:i/>
          <w:rtl/>
        </w:rPr>
        <w:t>Diversity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Matters</w:t>
      </w:r>
      <w:proofErr w:type="spellEnd"/>
      <w:r w:rsidRPr="006810DF">
        <w:rPr>
          <w:rFonts w:ascii="Segoe UI" w:hAnsi="Segoe UI" w:cs="Segoe UI"/>
          <w:i/>
          <w:rtl/>
        </w:rPr>
        <w:t xml:space="preserve">" 2023, </w:t>
      </w:r>
      <w:proofErr w:type="spellStart"/>
      <w:r w:rsidRPr="006810DF">
        <w:rPr>
          <w:rFonts w:ascii="Segoe UI" w:hAnsi="Segoe UI" w:cs="Segoe UI"/>
          <w:i/>
          <w:rtl/>
        </w:rPr>
        <w:t>נציבות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שוויון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הזדמנויות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בעבודה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1CEC416B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8. </w:t>
      </w:r>
      <w:proofErr w:type="spellStart"/>
      <w:r w:rsidRPr="00C61280">
        <w:rPr>
          <w:rFonts w:ascii="Segoe UI" w:hAnsi="Segoe UI" w:cs="Segoe UI"/>
          <w:bCs/>
          <w:rtl/>
        </w:rPr>
        <w:t>בניית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מותג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מעסיק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Employer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Branding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2E965B2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נתפסת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מהציבור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כ"חברה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תפיסה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שמשפיעה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וטכנולוגיים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(EVP – 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Value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Proposition</w:t>
      </w:r>
      <w:proofErr w:type="spellEnd"/>
      <w:r w:rsidRPr="006810DF">
        <w:rPr>
          <w:rFonts w:ascii="Segoe UI" w:hAnsi="Segoe UI" w:cs="Segoe UI"/>
          <w:rtl/>
        </w:rPr>
        <w:t>).</w:t>
      </w:r>
    </w:p>
    <w:p w14:paraId="593379E6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מ-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ש-75%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חזק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מוזילות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בעד</w:t>
      </w:r>
      <w:proofErr w:type="spellEnd"/>
      <w:r w:rsidRPr="006810DF">
        <w:rPr>
          <w:rFonts w:ascii="Segoe UI" w:hAnsi="Segoe UI" w:cs="Segoe UI"/>
          <w:rtl/>
        </w:rPr>
        <w:t xml:space="preserve"> 50%.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משותף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אסטרטגיית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שתכלול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EVP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ייחודי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תכנים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שוטפים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סיפורי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אמיתיים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Glassdoor</w:t>
      </w:r>
      <w:proofErr w:type="spellEnd"/>
      <w:r w:rsidRPr="006810DF">
        <w:rPr>
          <w:rFonts w:ascii="Segoe UI" w:hAnsi="Segoe UI" w:cs="Segoe UI"/>
          <w:rtl/>
        </w:rPr>
        <w:t xml:space="preserve"> ו-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6D85621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Employer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Branding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546D073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9. </w:t>
      </w:r>
      <w:proofErr w:type="spellStart"/>
      <w:r w:rsidRPr="00C61280">
        <w:rPr>
          <w:rFonts w:ascii="Segoe UI" w:hAnsi="Segoe UI" w:cs="Segoe UI"/>
          <w:bCs/>
          <w:rtl/>
        </w:rPr>
        <w:t>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קליטה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והשתלבות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מסודר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Onboarding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75BA403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למעשה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הקליטה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והודעה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תחילת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שדווקא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התקופה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לשימור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53E4E28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Gallup</w:t>
      </w:r>
      <w:proofErr w:type="spellEnd"/>
      <w:r w:rsidRPr="006810DF">
        <w:rPr>
          <w:rFonts w:ascii="Segoe UI" w:hAnsi="Segoe UI" w:cs="Segoe UI"/>
          <w:rtl/>
        </w:rPr>
        <w:t xml:space="preserve"> ו-SHRM </w:t>
      </w:r>
      <w:proofErr w:type="spellStart"/>
      <w:r w:rsidRPr="006810DF">
        <w:rPr>
          <w:rFonts w:ascii="Segoe UI" w:hAnsi="Segoe UI" w:cs="Segoe UI"/>
          <w:rtl/>
        </w:rPr>
        <w:t>מראים</w:t>
      </w:r>
      <w:proofErr w:type="spellEnd"/>
      <w:r w:rsidRPr="006810DF">
        <w:rPr>
          <w:rFonts w:ascii="Segoe UI" w:hAnsi="Segoe UI" w:cs="Segoe UI"/>
          <w:rtl/>
        </w:rPr>
        <w:t xml:space="preserve"> ש-20% </w:t>
      </w:r>
      <w:proofErr w:type="spellStart"/>
      <w:r w:rsidRPr="006810DF">
        <w:rPr>
          <w:rFonts w:ascii="Segoe UI" w:hAnsi="Segoe UI" w:cs="Segoe UI"/>
          <w:rtl/>
        </w:rPr>
        <w:t>מהעובדים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עוזבים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45 </w:t>
      </w:r>
      <w:proofErr w:type="spellStart"/>
      <w:r w:rsidRPr="006810DF">
        <w:rPr>
          <w:rFonts w:ascii="Segoe UI" w:hAnsi="Segoe UI" w:cs="Segoe UI"/>
          <w:rtl/>
        </w:rPr>
        <w:t>הימים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השימור</w:t>
      </w:r>
      <w:proofErr w:type="spellEnd"/>
      <w:r w:rsidRPr="006810DF">
        <w:rPr>
          <w:rFonts w:ascii="Segoe UI" w:hAnsi="Segoe UI" w:cs="Segoe UI"/>
          <w:rtl/>
        </w:rPr>
        <w:t xml:space="preserve"> עד 82% </w:t>
      </w:r>
      <w:proofErr w:type="spellStart"/>
      <w:r w:rsidRPr="006810DF">
        <w:rPr>
          <w:rFonts w:ascii="Segoe UI" w:hAnsi="Segoe UI" w:cs="Segoe UI"/>
          <w:rtl/>
        </w:rPr>
        <w:t>ואת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הפריון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 xml:space="preserve"> ב-70%.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חמישי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והשתלבות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ועד תום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24915C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טרום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Pre-boarding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חומר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וציוד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פגישות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סיורים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בסיסיות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מינוי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חונך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Mentor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מקרב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לליווי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ושיחות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מעקב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אחרי</w:t>
      </w:r>
      <w:proofErr w:type="spellEnd"/>
      <w:r w:rsidRPr="006810DF">
        <w:rPr>
          <w:rFonts w:ascii="Segoe UI" w:hAnsi="Segoe UI" w:cs="Segoe UI"/>
          <w:rtl/>
        </w:rPr>
        <w:t xml:space="preserve"> 30, 60 ו-90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נספחים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יוכלו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8D5EE9B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of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the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2025, SHRM </w:t>
      </w:r>
      <w:proofErr w:type="spellStart"/>
      <w:r w:rsidRPr="006810DF">
        <w:rPr>
          <w:rFonts w:ascii="Segoe UI" w:hAnsi="Segoe UI" w:cs="Segoe UI"/>
          <w:i/>
          <w:rtl/>
        </w:rPr>
        <w:t>Onboarding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122F6C5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10.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מיומנויות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Skills-Based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Hiring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05B98F3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ו') </w:t>
      </w:r>
      <w:proofErr w:type="spellStart"/>
      <w:r w:rsidRPr="006810DF">
        <w:rPr>
          <w:rFonts w:ascii="Segoe UI" w:hAnsi="Segoe UI" w:cs="Segoe UI"/>
          <w:rtl/>
        </w:rPr>
        <w:t>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בהשכלה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פורמלית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תארים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תעודות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ורישיונות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שהייתה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אופיינית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עשור-שניים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Skills-Based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Hiring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ביכולות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בתעודות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507723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מ-2025 </w:t>
      </w:r>
      <w:proofErr w:type="spellStart"/>
      <w:r w:rsidRPr="006810DF">
        <w:rPr>
          <w:rFonts w:ascii="Segoe UI" w:hAnsi="Segoe UI" w:cs="Segoe UI"/>
          <w:rtl/>
        </w:rPr>
        <w:t>מצא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שרק</w:t>
      </w:r>
      <w:proofErr w:type="spellEnd"/>
      <w:r w:rsidRPr="006810DF">
        <w:rPr>
          <w:rFonts w:ascii="Segoe UI" w:hAnsi="Segoe UI" w:cs="Segoe UI"/>
          <w:rtl/>
        </w:rPr>
        <w:t xml:space="preserve"> 41%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אקדמי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אימצו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נציבות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המדינה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ועדכוני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תקש"יר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הבקשה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א')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שדה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נדרשות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לצד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ההשכלה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ולשקול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הוספה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Work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Sample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כחלק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והכספים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59B5EDA4" w14:textId="77777777" w:rsidR="00A92AD7" w:rsidRPr="006810DF" w:rsidRDefault="003B4B88" w:rsidP="006B5667">
      <w:pPr>
        <w:bidi/>
        <w:spacing w:after="36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Learning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Skills-Based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Hiring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Study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336A8CDD" w14:textId="77777777" w:rsidR="00A92AD7" w:rsidRPr="00E6421A" w:rsidRDefault="003B4B88" w:rsidP="006B5667">
      <w:pPr>
        <w:bidi/>
        <w:spacing w:after="120" w:line="27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סיכום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ומבט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קדימה</w:t>
      </w:r>
      <w:proofErr w:type="spellEnd"/>
    </w:p>
    <w:p w14:paraId="3A5304F7" w14:textId="253F74B8" w:rsidR="00C61280" w:rsidRDefault="00C61280" w:rsidP="00C61280">
      <w:pPr>
        <w:bidi/>
        <w:spacing w:after="120" w:line="336" w:lineRule="auto"/>
        <w:rPr>
          <w:rFonts w:ascii="Segoe UI" w:hAnsi="Segoe UI" w:cs="Segoe UI"/>
          <w:bCs/>
          <w:rtl/>
          <w:lang w:bidi="he-IL"/>
        </w:rPr>
      </w:pPr>
      <w:r>
        <w:rPr>
          <w:rFonts w:ascii="Segoe UI" w:hAnsi="Segoe UI" w:cs="Segoe UI" w:hint="cs"/>
          <w:bCs/>
          <w:rtl/>
          <w:lang w:bidi="he-IL"/>
        </w:rPr>
        <w:t>טבלת עדיפויות ליישום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609"/>
        <w:gridCol w:w="3149"/>
        <w:gridCol w:w="1879"/>
        <w:gridCol w:w="1879"/>
        <w:gridCol w:w="1880"/>
      </w:tblGrid>
      <w:tr w:rsidR="00E6421A" w14:paraId="485ECE06" w14:textId="77777777" w:rsidTr="00E6421A">
        <w:trPr>
          <w:tblHeader/>
        </w:trPr>
        <w:tc>
          <w:tcPr>
            <w:tcW w:w="609" w:type="dxa"/>
            <w:shd w:val="clear" w:color="auto" w:fill="0B769F" w:themeFill="accent4" w:themeFillShade="BF"/>
            <w:vAlign w:val="center"/>
          </w:tcPr>
          <w:p w14:paraId="4AE8D82B" w14:textId="1FC1CD29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3149" w:type="dxa"/>
            <w:shd w:val="clear" w:color="auto" w:fill="0B769F" w:themeFill="accent4" w:themeFillShade="BF"/>
          </w:tcPr>
          <w:p w14:paraId="61B9C615" w14:textId="720E515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תחום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2EF0F304" w14:textId="1C678AE6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דחיפות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6CA79CB1" w14:textId="4C6258F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מורכבות</w:t>
            </w:r>
          </w:p>
        </w:tc>
        <w:tc>
          <w:tcPr>
            <w:tcW w:w="1880" w:type="dxa"/>
            <w:shd w:val="clear" w:color="auto" w:fill="0B769F" w:themeFill="accent4" w:themeFillShade="BF"/>
          </w:tcPr>
          <w:p w14:paraId="75333400" w14:textId="17652ED1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השפעה</w:t>
            </w:r>
          </w:p>
        </w:tc>
      </w:tr>
      <w:tr w:rsidR="00E6421A" w14:paraId="42CCB0CF" w14:textId="77777777" w:rsidTr="00960394">
        <w:tc>
          <w:tcPr>
            <w:tcW w:w="609" w:type="dxa"/>
            <w:vAlign w:val="center"/>
          </w:tcPr>
          <w:p w14:paraId="781296EA" w14:textId="68E8717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</w:t>
            </w:r>
          </w:p>
        </w:tc>
        <w:tc>
          <w:tcPr>
            <w:tcW w:w="3149" w:type="dxa"/>
            <w:vAlign w:val="center"/>
          </w:tcPr>
          <w:p w14:paraId="7C348DEF" w14:textId="3DDD676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הטמעת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ATS</w:t>
            </w:r>
          </w:p>
        </w:tc>
        <w:tc>
          <w:tcPr>
            <w:tcW w:w="1879" w:type="dxa"/>
            <w:vAlign w:val="center"/>
          </w:tcPr>
          <w:p w14:paraId="0735FEA4" w14:textId="02A5401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3D7693F3" w14:textId="5292C0A4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  <w:tc>
          <w:tcPr>
            <w:tcW w:w="1880" w:type="dxa"/>
            <w:vAlign w:val="center"/>
          </w:tcPr>
          <w:p w14:paraId="091697DD" w14:textId="4EF1C43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19DDDFA2" w14:textId="77777777" w:rsidTr="00960394">
        <w:tc>
          <w:tcPr>
            <w:tcW w:w="609" w:type="dxa"/>
            <w:vAlign w:val="center"/>
          </w:tcPr>
          <w:p w14:paraId="41A7BF87" w14:textId="3854C3D5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2</w:t>
            </w:r>
          </w:p>
        </w:tc>
        <w:tc>
          <w:tcPr>
            <w:tcW w:w="3149" w:type="dxa"/>
            <w:vAlign w:val="center"/>
          </w:tcPr>
          <w:p w14:paraId="5B6B7F13" w14:textId="71D461A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ראיונות מובנים</w:t>
            </w:r>
          </w:p>
        </w:tc>
        <w:tc>
          <w:tcPr>
            <w:tcW w:w="1879" w:type="dxa"/>
            <w:vAlign w:val="center"/>
          </w:tcPr>
          <w:p w14:paraId="45F6DE5C" w14:textId="18983222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2ABD3CD3" w14:textId="62F543F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38D3367B" w14:textId="2C00C54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3F871737" w14:textId="77777777" w:rsidTr="00960394">
        <w:tc>
          <w:tcPr>
            <w:tcW w:w="609" w:type="dxa"/>
            <w:vAlign w:val="center"/>
          </w:tcPr>
          <w:p w14:paraId="6FD9003F" w14:textId="26E99CAB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3</w:t>
            </w:r>
          </w:p>
        </w:tc>
        <w:tc>
          <w:tcPr>
            <w:tcW w:w="3149" w:type="dxa"/>
            <w:vAlign w:val="center"/>
          </w:tcPr>
          <w:p w14:paraId="72EB6C24" w14:textId="7BB4682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הרחבת ערוצי גיוס</w:t>
            </w:r>
          </w:p>
        </w:tc>
        <w:tc>
          <w:tcPr>
            <w:tcW w:w="1879" w:type="dxa"/>
            <w:vAlign w:val="center"/>
          </w:tcPr>
          <w:p w14:paraId="4CA099A3" w14:textId="21C8074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4832E618" w14:textId="763D6C9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63B2056D" w14:textId="349BF13B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4A2CDE64" w14:textId="77777777" w:rsidTr="00960394">
        <w:tc>
          <w:tcPr>
            <w:tcW w:w="609" w:type="dxa"/>
            <w:vAlign w:val="center"/>
          </w:tcPr>
          <w:p w14:paraId="578F82DB" w14:textId="6B2C213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4</w:t>
            </w:r>
          </w:p>
        </w:tc>
        <w:tc>
          <w:tcPr>
            <w:tcW w:w="3149" w:type="dxa"/>
            <w:vAlign w:val="center"/>
          </w:tcPr>
          <w:p w14:paraId="379BE5B3" w14:textId="530CFB2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חוויית מועמד</w:t>
            </w:r>
          </w:p>
        </w:tc>
        <w:tc>
          <w:tcPr>
            <w:tcW w:w="1879" w:type="dxa"/>
            <w:vAlign w:val="center"/>
          </w:tcPr>
          <w:p w14:paraId="72C7CB35" w14:textId="11CC709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5CB9F85" w14:textId="2D7CB5F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FB3A77B" w14:textId="5D823B2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27D604C7" w14:textId="77777777" w:rsidTr="00960394">
        <w:tc>
          <w:tcPr>
            <w:tcW w:w="609" w:type="dxa"/>
            <w:vAlign w:val="center"/>
          </w:tcPr>
          <w:p w14:paraId="365C91D3" w14:textId="1704083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5</w:t>
            </w:r>
          </w:p>
        </w:tc>
        <w:tc>
          <w:tcPr>
            <w:tcW w:w="3149" w:type="dxa"/>
            <w:vAlign w:val="center"/>
          </w:tcPr>
          <w:p w14:paraId="185309EC" w14:textId="340D1184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תוכנית קליטה</w:t>
            </w:r>
          </w:p>
        </w:tc>
        <w:tc>
          <w:tcPr>
            <w:tcW w:w="1879" w:type="dxa"/>
            <w:vAlign w:val="center"/>
          </w:tcPr>
          <w:p w14:paraId="44B0540A" w14:textId="6B06ED25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3B94CB0A" w14:textId="245E03E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563E1C71" w14:textId="68231A8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3E545342" w14:textId="77777777" w:rsidTr="00960394">
        <w:tc>
          <w:tcPr>
            <w:tcW w:w="609" w:type="dxa"/>
            <w:vAlign w:val="center"/>
          </w:tcPr>
          <w:p w14:paraId="58820515" w14:textId="10BAE9F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6</w:t>
            </w:r>
          </w:p>
        </w:tc>
        <w:tc>
          <w:tcPr>
            <w:tcW w:w="3149" w:type="dxa"/>
            <w:vAlign w:val="center"/>
          </w:tcPr>
          <w:p w14:paraId="0F09D8B7" w14:textId="7465CDD1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שילוב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AI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בסינון</w:t>
            </w:r>
          </w:p>
        </w:tc>
        <w:tc>
          <w:tcPr>
            <w:tcW w:w="1879" w:type="dxa"/>
            <w:vAlign w:val="center"/>
          </w:tcPr>
          <w:p w14:paraId="07CB8F0B" w14:textId="03C4A46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73B5311" w14:textId="45C769D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80" w:type="dxa"/>
            <w:vAlign w:val="center"/>
          </w:tcPr>
          <w:p w14:paraId="29EE8440" w14:textId="25BDC06E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1C68C684" w14:textId="77777777" w:rsidTr="00960394">
        <w:tc>
          <w:tcPr>
            <w:tcW w:w="609" w:type="dxa"/>
            <w:vAlign w:val="center"/>
          </w:tcPr>
          <w:p w14:paraId="440AD3CF" w14:textId="6DAF4C8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7</w:t>
            </w:r>
          </w:p>
        </w:tc>
        <w:tc>
          <w:tcPr>
            <w:tcW w:w="3149" w:type="dxa"/>
            <w:vAlign w:val="center"/>
          </w:tcPr>
          <w:p w14:paraId="6E6C74F4" w14:textId="0095B51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מותג מעסיק</w:t>
            </w:r>
          </w:p>
        </w:tc>
        <w:tc>
          <w:tcPr>
            <w:tcW w:w="1879" w:type="dxa"/>
            <w:vAlign w:val="center"/>
          </w:tcPr>
          <w:p w14:paraId="51CF9CCA" w14:textId="29E4800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4BEDDCE" w14:textId="0E3513B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494FFB4E" w14:textId="7B8BFA7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</w:tr>
      <w:tr w:rsidR="00E6421A" w14:paraId="3331424A" w14:textId="77777777" w:rsidTr="00960394">
        <w:tc>
          <w:tcPr>
            <w:tcW w:w="609" w:type="dxa"/>
            <w:vAlign w:val="center"/>
          </w:tcPr>
          <w:p w14:paraId="3C92730B" w14:textId="7916B02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8</w:t>
            </w:r>
          </w:p>
        </w:tc>
        <w:tc>
          <w:tcPr>
            <w:tcW w:w="3149" w:type="dxa"/>
            <w:vAlign w:val="center"/>
          </w:tcPr>
          <w:p w14:paraId="59545392" w14:textId="0A5168C3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מדדים ודוחות</w:t>
            </w:r>
          </w:p>
        </w:tc>
        <w:tc>
          <w:tcPr>
            <w:tcW w:w="1879" w:type="dxa"/>
            <w:vAlign w:val="center"/>
          </w:tcPr>
          <w:p w14:paraId="1316FB6F" w14:textId="3E0F65C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3B87A4F" w14:textId="2540F69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07391041" w14:textId="4413FA59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06C4161E" w14:textId="77777777" w:rsidTr="00960394">
        <w:tc>
          <w:tcPr>
            <w:tcW w:w="609" w:type="dxa"/>
            <w:vAlign w:val="center"/>
          </w:tcPr>
          <w:p w14:paraId="03C8DEF6" w14:textId="76719AEA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9</w:t>
            </w:r>
          </w:p>
        </w:tc>
        <w:tc>
          <w:tcPr>
            <w:tcW w:w="3149" w:type="dxa"/>
            <w:vAlign w:val="center"/>
          </w:tcPr>
          <w:p w14:paraId="4C1E412F" w14:textId="3631932C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proofErr w:type="gramStart"/>
            <w:r w:rsidRPr="00C61280">
              <w:rPr>
                <w:rFonts w:ascii="Segoe UI" w:hAnsi="Segoe UI" w:cs="Segoe UI"/>
                <w:bCs/>
                <w:lang w:bidi="he-IL"/>
              </w:rPr>
              <w:t xml:space="preserve">DEI 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בגיוס</w:t>
            </w:r>
            <w:proofErr w:type="gramEnd"/>
          </w:p>
        </w:tc>
        <w:tc>
          <w:tcPr>
            <w:tcW w:w="1879" w:type="dxa"/>
            <w:vAlign w:val="center"/>
          </w:tcPr>
          <w:p w14:paraId="3FB77C4B" w14:textId="6FBF6A3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7D282960" w14:textId="4840ECC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08C849CE" w14:textId="4D7809D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31F1866D" w14:textId="77777777" w:rsidTr="00960394">
        <w:tc>
          <w:tcPr>
            <w:tcW w:w="609" w:type="dxa"/>
            <w:vAlign w:val="center"/>
          </w:tcPr>
          <w:p w14:paraId="309C9956" w14:textId="631A332C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10</w:t>
            </w:r>
          </w:p>
        </w:tc>
        <w:tc>
          <w:tcPr>
            <w:tcW w:w="3149" w:type="dxa"/>
            <w:vAlign w:val="center"/>
          </w:tcPr>
          <w:p w14:paraId="02B354C8" w14:textId="7CA1550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גיוס מבוסס מיומנויות</w:t>
            </w:r>
          </w:p>
        </w:tc>
        <w:tc>
          <w:tcPr>
            <w:tcW w:w="1879" w:type="dxa"/>
            <w:vAlign w:val="center"/>
          </w:tcPr>
          <w:p w14:paraId="34C83CA5" w14:textId="1D5A964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00CB646F" w14:textId="7DC853A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5D89C51" w14:textId="111D567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</w:tbl>
    <w:p w14:paraId="6447EBE5" w14:textId="77777777" w:rsidR="00E6421A" w:rsidRDefault="00E6421A" w:rsidP="006810DF">
      <w:pPr>
        <w:bidi/>
        <w:spacing w:after="120" w:line="336" w:lineRule="auto"/>
        <w:rPr>
          <w:rFonts w:ascii="Segoe UI" w:hAnsi="Segoe UI" w:cs="Segoe UI"/>
          <w:rtl/>
          <w:lang w:bidi="he-IL"/>
        </w:rPr>
      </w:pPr>
    </w:p>
    <w:p w14:paraId="19AABD6C" w14:textId="3744C50A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עשר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ההמלצות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המופיעות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במסמך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בהדרגה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המורכבות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והמחויבויות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במסגרת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הקיבוצי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להתחיל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שיפורים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עלות-תועלת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גבוהה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יחסית</w:t>
      </w:r>
      <w:proofErr w:type="spellEnd"/>
      <w:r w:rsidRPr="006810DF">
        <w:rPr>
          <w:rFonts w:ascii="Segoe UI" w:hAnsi="Segoe UI" w:cs="Segoe UI"/>
          <w:rtl/>
        </w:rPr>
        <w:t xml:space="preserve">: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</w:t>
      </w:r>
      <w:proofErr w:type="spellStart"/>
      <w:r w:rsidRPr="006810DF">
        <w:rPr>
          <w:rFonts w:ascii="Segoe UI" w:hAnsi="Segoe UI" w:cs="Segoe UI"/>
          <w:rtl/>
        </w:rPr>
        <w:t>למספר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הכנת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ושיפור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שלושת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חצי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>–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ויאפשרו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ללמוד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לתרבות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לשינויים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31A87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תיאום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מוקדם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המזכירות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וייתכן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הממשלתיות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התייעצות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הפורמלי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>.</w:t>
      </w:r>
    </w:p>
    <w:sectPr w:rsidR="00A92AD7" w:rsidRPr="006810DF">
      <w:headerReference w:type="default" r:id="rId11"/>
      <w:footerReference w:type="default" r:id="rId12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5D120" w14:textId="77777777" w:rsidR="00AE576F" w:rsidRDefault="00AE576F" w:rsidP="006B5667">
      <w:pPr>
        <w:spacing w:after="0" w:line="240" w:lineRule="auto"/>
      </w:pPr>
      <w:r>
        <w:separator/>
      </w:r>
    </w:p>
  </w:endnote>
  <w:endnote w:type="continuationSeparator" w:id="0">
    <w:p w14:paraId="58991FC6" w14:textId="77777777" w:rsidR="00AE576F" w:rsidRDefault="00AE576F" w:rsidP="006B56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B354" w14:textId="4DFB035F" w:rsidR="006B5667" w:rsidRDefault="006B566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1BD3A64" wp14:editId="3F69D502">
              <wp:simplePos x="0" y="0"/>
              <wp:positionH relativeFrom="column">
                <wp:posOffset>-742921</wp:posOffset>
              </wp:positionH>
              <wp:positionV relativeFrom="paragraph">
                <wp:posOffset>69850</wp:posOffset>
              </wp:positionV>
              <wp:extent cx="3104515" cy="1828800"/>
              <wp:effectExtent l="0" t="0" r="0" b="2540"/>
              <wp:wrapSquare wrapText="bothSides"/>
              <wp:docPr id="1355663927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B53C5559-D21A-4E47-AA4D-0D6D30055E4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45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530E427" w14:textId="77777777" w:rsidR="006B5667" w:rsidRPr="006B5667" w:rsidRDefault="006B5667" w:rsidP="006B5667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  <w:t>ביקורת | בונה | הצלחה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1BD3A6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-58.5pt;margin-top:5.5pt;width:244.45pt;height:2in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" filled="f" stroked="f" strokeweight=".5pt">
              <v:textbox style="mso-fit-shape-to-text:t">
                <w:txbxContent>
                  <w:p w14:paraId="5530E427" w14:textId="77777777" w:rsidR="006B5667" w:rsidRPr="006B5667" w:rsidRDefault="006B5667" w:rsidP="006B5667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  <w:t>ביקורת | בונה | הצלחה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8E7F7" w14:textId="77777777" w:rsidR="00AE576F" w:rsidRDefault="00AE576F" w:rsidP="006B5667">
      <w:pPr>
        <w:spacing w:after="0" w:line="240" w:lineRule="auto"/>
      </w:pPr>
      <w:r>
        <w:separator/>
      </w:r>
    </w:p>
  </w:footnote>
  <w:footnote w:type="continuationSeparator" w:id="0">
    <w:p w14:paraId="26425CBA" w14:textId="77777777" w:rsidR="00AE576F" w:rsidRDefault="00AE576F" w:rsidP="006B56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C096" w14:textId="40F14D06" w:rsidR="006B5667" w:rsidRDefault="006B566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424C4A3" wp14:editId="798D51D5">
              <wp:simplePos x="0" y="0"/>
              <wp:positionH relativeFrom="margin">
                <wp:align>center</wp:align>
              </wp:positionH>
              <wp:positionV relativeFrom="paragraph">
                <wp:posOffset>-321282</wp:posOffset>
              </wp:positionV>
              <wp:extent cx="1851025" cy="1828800"/>
              <wp:effectExtent l="0" t="0" r="0" b="0"/>
              <wp:wrapSquare wrapText="bothSides"/>
              <wp:docPr id="989374732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11C9836B-DC47-45A9-814B-FDBB48883F20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02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232723" w14:textId="39EB50E1" w:rsidR="006B5667" w:rsidRPr="006B5667" w:rsidRDefault="006B5667" w:rsidP="00960394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  <w:t>הביקורת הפנימית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424C4A3" id="_x0000_t202" coordsize="21600,21600" o:spt="202" path="m,l,21600r21600,l21600,xe">
              <v:stroke joinstyle="miter"/>
              <v:path gradientshapeok="t" o:connecttype="rect"/>
            </v:shapetype>
            <v:shape id="תיבת טקסט 1" o:spid="_x0000_s1026" type="#_x0000_t202" style="position:absolute;margin-left:0;margin-top:-25.3pt;width:145.75pt;height:2in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" filled="f" stroked="f" strokeweight=".5pt">
              <v:textbox style="mso-fit-shape-to-text:t">
                <w:txbxContent>
                  <w:p w14:paraId="38232723" w14:textId="39EB50E1" w:rsidR="006B5667" w:rsidRPr="006B5667" w:rsidRDefault="006B5667" w:rsidP="00960394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  <w:t>הביקורת הפנימית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9F9FDB" wp14:editId="55C45020">
              <wp:simplePos x="0" y="0"/>
              <wp:positionH relativeFrom="column">
                <wp:posOffset>-892800</wp:posOffset>
              </wp:positionH>
              <wp:positionV relativeFrom="paragraph">
                <wp:posOffset>122394</wp:posOffset>
              </wp:positionV>
              <wp:extent cx="5438633" cy="0"/>
              <wp:effectExtent l="0" t="0" r="0" b="0"/>
              <wp:wrapNone/>
              <wp:docPr id="358255632" name="מחבר ישר 1">
                <a:extLst xmlns:a="http://schemas.openxmlformats.org/drawingml/2006/main">
                  <a:ext uri="{FF2B5EF4-FFF2-40B4-BE49-F238E27FC236}">
                    <a16:creationId xmlns:a16="http://schemas.microsoft.com/office/drawing/2014/main" id="{BC713885-798A-419C-95A0-B300DD78018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38633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F3D73B" id="מחבר ישר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3pt,9.65pt" to="357.95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" strokecolor="#156082 [3204]" strokeweight="1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6742C4F9" wp14:editId="078B6D23">
          <wp:simplePos x="0" y="0"/>
          <wp:positionH relativeFrom="column">
            <wp:posOffset>-490684</wp:posOffset>
          </wp:positionH>
          <wp:positionV relativeFrom="paragraph">
            <wp:posOffset>-348018</wp:posOffset>
          </wp:positionV>
          <wp:extent cx="839338" cy="444163"/>
          <wp:effectExtent l="0" t="0" r="0" b="0"/>
          <wp:wrapSquare wrapText="bothSides"/>
          <wp:docPr id="1764321698" name="תמונה 1">
            <a:extLst xmlns:a="http://schemas.openxmlformats.org/drawingml/2006/main">
              <a:ext uri="{FF2B5EF4-FFF2-40B4-BE49-F238E27FC236}">
                <a16:creationId xmlns:a16="http://schemas.microsoft.com/office/drawing/2014/main" id="{246773CB-ACB3-40A5-8C01-63ABB98A5A8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432169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9338" cy="4441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100838F8"/>
    <w:multiLevelType w:val="multilevel"/>
    <w:tmpl w:val="8F505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0C0A63"/>
    <w:multiLevelType w:val="hybridMultilevel"/>
    <w:tmpl w:val="E8B63436"/>
    <w:lvl w:ilvl="0" w:tplc="801AE4F4">
      <w:start w:val="1"/>
      <w:numFmt w:val="hebrew1"/>
      <w:lvlText w:val="%1."/>
      <w:lvlJc w:val="center"/>
      <w:pPr>
        <w:ind w:left="720" w:hanging="360"/>
      </w:pPr>
      <w:rPr>
        <w:color w:val="0B769F" w:themeColor="accent4" w:themeShade="BF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261440"/>
    <w:multiLevelType w:val="hybridMultilevel"/>
    <w:tmpl w:val="F92ED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273904881">
    <w:abstractNumId w:val="17"/>
  </w:num>
  <w:num w:numId="2" w16cid:durableId="1416627709">
    <w:abstractNumId w:val="12"/>
  </w:num>
  <w:num w:numId="3" w16cid:durableId="1566836399">
    <w:abstractNumId w:val="6"/>
  </w:num>
  <w:num w:numId="4" w16cid:durableId="1567960367">
    <w:abstractNumId w:val="9"/>
  </w:num>
  <w:num w:numId="5" w16cid:durableId="1651517433">
    <w:abstractNumId w:val="8"/>
  </w:num>
  <w:num w:numId="6" w16cid:durableId="1690519602">
    <w:abstractNumId w:val="4"/>
  </w:num>
  <w:num w:numId="7" w16cid:durableId="1730575300">
    <w:abstractNumId w:val="15"/>
  </w:num>
  <w:num w:numId="8" w16cid:durableId="1797212007">
    <w:abstractNumId w:val="2"/>
  </w:num>
  <w:num w:numId="9" w16cid:durableId="1876692088">
    <w:abstractNumId w:val="11"/>
  </w:num>
  <w:num w:numId="10" w16cid:durableId="1976715822">
    <w:abstractNumId w:val="1"/>
  </w:num>
  <w:num w:numId="11" w16cid:durableId="1993868796">
    <w:abstractNumId w:val="3"/>
  </w:num>
  <w:num w:numId="12" w16cid:durableId="2063938215">
    <w:abstractNumId w:val="18"/>
  </w:num>
  <w:num w:numId="13" w16cid:durableId="2110588750">
    <w:abstractNumId w:val="16"/>
  </w:num>
  <w:num w:numId="14" w16cid:durableId="355926133">
    <w:abstractNumId w:val="0"/>
  </w:num>
  <w:num w:numId="15" w16cid:durableId="367611027">
    <w:abstractNumId w:val="14"/>
  </w:num>
  <w:num w:numId="16" w16cid:durableId="437330815">
    <w:abstractNumId w:val="10"/>
  </w:num>
  <w:num w:numId="17" w16cid:durableId="774254728">
    <w:abstractNumId w:val="5"/>
  </w:num>
  <w:num w:numId="18" w16cid:durableId="794836063">
    <w:abstractNumId w:val="13"/>
  </w:num>
  <w:num w:numId="19" w16cid:durableId="966591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80350"/>
    <w:rsid w:val="0014089C"/>
    <w:rsid w:val="0019640D"/>
    <w:rsid w:val="001F40EA"/>
    <w:rsid w:val="002450CD"/>
    <w:rsid w:val="002B32F4"/>
    <w:rsid w:val="002E51AB"/>
    <w:rsid w:val="002F54C7"/>
    <w:rsid w:val="003166C9"/>
    <w:rsid w:val="00324B44"/>
    <w:rsid w:val="00360C0B"/>
    <w:rsid w:val="0036562D"/>
    <w:rsid w:val="003A349A"/>
    <w:rsid w:val="003B4B88"/>
    <w:rsid w:val="003C7794"/>
    <w:rsid w:val="004976E0"/>
    <w:rsid w:val="004B7FFD"/>
    <w:rsid w:val="004F4BB4"/>
    <w:rsid w:val="005924E0"/>
    <w:rsid w:val="005A534A"/>
    <w:rsid w:val="005B7429"/>
    <w:rsid w:val="005E0D63"/>
    <w:rsid w:val="006810DF"/>
    <w:rsid w:val="006A4451"/>
    <w:rsid w:val="006B5667"/>
    <w:rsid w:val="00827C87"/>
    <w:rsid w:val="00960394"/>
    <w:rsid w:val="009D0D8C"/>
    <w:rsid w:val="00A154B1"/>
    <w:rsid w:val="00A20880"/>
    <w:rsid w:val="00A20D4B"/>
    <w:rsid w:val="00A352C8"/>
    <w:rsid w:val="00A602FC"/>
    <w:rsid w:val="00A80D40"/>
    <w:rsid w:val="00A92AD7"/>
    <w:rsid w:val="00AE02A6"/>
    <w:rsid w:val="00AE576F"/>
    <w:rsid w:val="00B40987"/>
    <w:rsid w:val="00B41C2B"/>
    <w:rsid w:val="00B7291D"/>
    <w:rsid w:val="00BF4C3E"/>
    <w:rsid w:val="00C11C00"/>
    <w:rsid w:val="00C20091"/>
    <w:rsid w:val="00C26D93"/>
    <w:rsid w:val="00C27141"/>
    <w:rsid w:val="00C61280"/>
    <w:rsid w:val="00C90572"/>
    <w:rsid w:val="00CC5211"/>
    <w:rsid w:val="00D32292"/>
    <w:rsid w:val="00D70033"/>
    <w:rsid w:val="00D71ABF"/>
    <w:rsid w:val="00D75435"/>
    <w:rsid w:val="00DA6C12"/>
    <w:rsid w:val="00DE5146"/>
    <w:rsid w:val="00DF2FBF"/>
    <w:rsid w:val="00E6421A"/>
    <w:rsid w:val="00E657DC"/>
    <w:rsid w:val="00E6588F"/>
    <w:rsid w:val="00FB3270"/>
    <w:rsid w:val="00FE5C0F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385DA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19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17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4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F4B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4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מסמך" ma:contentTypeID="0x010100DDE172932CA1C2469524ADDF03B9AD15" ma:contentTypeVersion="16" ma:contentTypeDescription="צור מסמך חדש." ma:contentTypeScope="" ma:versionID="381f3b3389db805699ed5daf49fb4b65">
  <xsd:schema xmlns:xsd="http://www.w3.org/2001/XMLSchema" xmlns:xs="http://www.w3.org/2001/XMLSchema" xmlns:p="http://schemas.microsoft.com/office/2006/metadata/properties" xmlns:ns1="http://schemas.microsoft.com/sharepoint/v3" xmlns:ns2="ee5cdb3a-330a-4dd3-af0b-4fab87d2f442" xmlns:ns3="17738aa4-56c1-4a1c-a87f-9c38be6ee029" targetNamespace="http://schemas.microsoft.com/office/2006/metadata/properties" ma:root="true" ma:fieldsID="4958d8fbc23ceab3b8f1c7ffa29951db" ns1:_="" ns2:_="" ns3:_="">
    <xsd:import namespace="http://schemas.microsoft.com/sharepoint/v3"/>
    <xsd:import namespace="ee5cdb3a-330a-4dd3-af0b-4fab87d2f442"/>
    <xsd:import namespace="17738aa4-56c1-4a1c-a87f-9c38be6ee029"/>
    <xsd:element name="properties">
      <xsd:complexType>
        <xsd:sequence>
          <xsd:element name="documentManagement">
            <xsd:complexType>
              <xsd:all>
                <xsd:element ref="ns2:TaxKeywordTaxHTField" minOccurs="0"/>
                <xsd:element ref="ns2:TaxCatchAll" minOccurs="0"/>
                <xsd:element ref="ns2:_dlc_DocId" minOccurs="0"/>
                <xsd:element ref="ns2:_dlc_DocIdUrl" minOccurs="0"/>
                <xsd:element ref="ns2:_dlc_DocIdPersistId" minOccurs="0"/>
                <xsd:element ref="ns1:_ip_UnifiedCompliancePolicyProperties" minOccurs="0"/>
                <xsd:element ref="ns1:_ip_UnifiedCompliancePolicyUIActio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3:MediaServiceOCR" minOccurs="0"/>
                <xsd:element ref="ns2:des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מאפייני מדיניות תאימות מאוחדת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פעולת ממשק משתמש של מדיניות תאימות מאוחדת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5cdb3a-330a-4dd3-af0b-4fab87d2f442" elementFormDefault="qualified">
    <xsd:import namespace="http://schemas.microsoft.com/office/2006/documentManagement/types"/>
    <xsd:import namespace="http://schemas.microsoft.com/office/infopath/2007/PartnerControls"/>
    <xsd:element name="TaxKeywordTaxHTField" ma:index="9" nillable="true" ma:taxonomy="true" ma:internalName="TaxKeywordTaxHTField" ma:taxonomyFieldName="TaxKeyword" ma:displayName="מילות מפתח של ארגון" ma:fieldId="{23f27201-bee3-471e-b2e7-b64fd8b7ca38}" ma:taxonomyMulti="true" ma:sspId="a5e8ca31-bac2-4339-8951-f3574b30c22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482b26c5-f799-423d-80ce-c9b52e4ca1db}" ma:internalName="TaxCatchAll" ma:showField="CatchAllData" ma:web="ee5cdb3a-330a-4dd3-af0b-4fab87d2f4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_dlc_DocId" ma:index="11" nillable="true" ma:displayName="ערך של מזהה מסמך" ma:description="הערך של מזהה המסמך שהוקצה לפריט זה." ma:indexed="true" ma:internalName="_dlc_DocId" ma:readOnly="true">
      <xsd:simpleType>
        <xsd:restriction base="dms:Text"/>
      </xsd:simpleType>
    </xsd:element>
    <xsd:element name="_dlc_DocIdUrl" ma:index="12" nillable="true" ma:displayName="מזהה מסמך" ma:description="קישור קבוע למסמך זה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3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desc" ma:index="25" nillable="true" ma:displayName="desc" ma:internalName="des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738aa4-56c1-4a1c-a87f-9c38be6ee0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תגיות תמונה" ma:readOnly="false" ma:fieldId="{5cf76f15-5ced-4ddc-b409-7134ff3c332f}" ma:taxonomyMulti="true" ma:sspId="a5e8ca31-bac2-4339-8951-f3574b30c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סוג תוכן"/>
        <xsd:element ref="dc:title" minOccurs="0" maxOccurs="1" ma:index="3" ma:displayName="כותרת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ee5cdb3a-330a-4dd3-af0b-4fab87d2f442" xsi:nil="true"/>
    <desc xmlns="ee5cdb3a-330a-4dd3-af0b-4fab87d2f442" xsi:nil="true"/>
    <TaxKeywordTaxHTField xmlns="ee5cdb3a-330a-4dd3-af0b-4fab87d2f442">
      <Terms xmlns="http://schemas.microsoft.com/office/infopath/2007/PartnerControls"/>
    </TaxKeywordTaxHTField>
    <_ip_UnifiedCompliancePolicyProperties xmlns="http://schemas.microsoft.com/sharepoint/v3" xsi:nil="true"/>
    <lcf76f155ced4ddcb4097134ff3c332f xmlns="17738aa4-56c1-4a1c-a87f-9c38be6ee029">
      <Terms xmlns="http://schemas.microsoft.com/office/infopath/2007/PartnerControls"/>
    </lcf76f155ced4ddcb4097134ff3c332f>
    <_dlc_DocId xmlns="ee5cdb3a-330a-4dd3-af0b-4fab87d2f442">ADMIN-736472270-120584</_dlc_DocId>
    <_dlc_DocIdUrl xmlns="ee5cdb3a-330a-4dd3-af0b-4fab87d2f442">
      <Url>https://mekorot.sharepoint.com/sites/admin/iat/_layouts/15/DocIdRedir.aspx?ID=ADMIN-736472270-120584</Url>
      <Description>ADMIN-736472270-120584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CD259F-ADF5-45E7-B463-297C243506E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2847B15-C409-4074-8090-D5716DDAC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e5cdb3a-330a-4dd3-af0b-4fab87d2f442"/>
    <ds:schemaRef ds:uri="17738aa4-56c1-4a1c-a87f-9c38be6ee0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D9317C-7EE9-4F39-BBFE-641F3AB157A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e5cdb3a-330a-4dd3-af0b-4fab87d2f442"/>
    <ds:schemaRef ds:uri="17738aa4-56c1-4a1c-a87f-9c38be6ee029"/>
  </ds:schemaRefs>
</ds:datastoreItem>
</file>

<file path=customXml/itemProps4.xml><?xml version="1.0" encoding="utf-8"?>
<ds:datastoreItem xmlns:ds="http://schemas.openxmlformats.org/officeDocument/2006/customXml" ds:itemID="{6BC9ADCE-482C-406F-9DC3-586C44E8B6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2565</Words>
  <Characters>14621</Characters>
  <Application>Microsoft Office Word</Application>
  <DocSecurity>0</DocSecurity>
  <Lines>121</Lines>
  <Paragraphs>34</Paragraphs>
  <ScaleCrop>false</ScaleCrop>
  <Company/>
  <LinksUpToDate>false</LinksUpToDate>
  <CharactersWithSpaces>17152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זמיר עמית - חברת טלדור</dc:creator>
  <cp:keywords/>
  <dc:description/>
  <cp:lastModifiedBy>זמיר עמית - חברת טלדור</cp:lastModifiedBy>
  <cp:revision>261</cp:revision>
  <dcterms:created xsi:type="dcterms:W3CDTF">2026-06-21T10:34:00Z</dcterms:created>
  <dcterms:modified xsi:type="dcterms:W3CDTF">2026-06-21T12:46:00Z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0x010100DDE172932CA1C2469524ADDF03B9AD15</vt:lpwstr>
  </property>
  <property fmtid="{D5CDD505-2E9C-101B-9397-08002B2CF9AE}" pid="3" name="TaxKeyword">
    <vt:lpwstr/>
  </property>
  <property fmtid="{D5CDD505-2E9C-101B-9397-08002B2CF9AE}" pid="4" name="MediaServiceImageTags">
    <vt:lpwstr/>
  </property>
  <property fmtid="{D5CDD505-2E9C-101B-9397-08002B2CF9AE}" pid="5" name="_dlc_DocIdItemGuid">
    <vt:lpwstr>ab6def82-d91f-431e-8e20-a7144f6752c0</vt:lpwstr>
  </property>
</Properties>
</file>