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 для мебельного проекта</w:t>
      </w:r>
    </w:p>
    <w:p>
      <w:r>
        <w:t>Учебный SEO-проект для example.org</w:t>
      </w:r>
    </w:p>
    <w:p>
      <w:r>
        <w:t>Учебное агентство · 6 октября 2026</w:t>
      </w:r>
    </w:p>
    <w:p>
      <w:r>
        <w:t>Все сведения и числа вымышлены. Документ показывает формат предложения и не является тарифом, клиентским кейсом или обещанием результатов автора репозитория.</w:t>
      </w:r>
    </w:p>
    <w:p>
      <w:r>
        <w:br w:type="page"/>
      </w:r>
    </w:p>
    <w:p>
      <w:pPr>
        <w:pStyle w:val="Heading1"/>
      </w:pPr>
      <w:r>
        <w:t>Содержание и основной вывод</w:t>
      </w:r>
    </w:p>
    <w:p>
      <w:r>
        <w:t>Покажем текущую поисковую точку, приоритетные страницы и семантические пробелы. Затем объясним предлагаемые изменения, сценарный расчёт, работу первого цикла, ресурс, ответственность и способ проверки результата.</w:t>
      </w:r>
    </w:p>
    <w:p>
      <w:r>
        <w:t>Основной резерв учебного проекта — уже существующие страницы столов: категория получает поток и находится рядом с TOP, изготовление по размерам имеет спрос, но слабые позиции. Предлагаем начать с этих посадочных. Отдельный интент складного механизма проверим как кандидат новой страницы после подтверждения ассортимента.</w:t>
      </w:r>
    </w:p>
    <w:p>
      <w:r>
        <w:t>Дальнейшие задачи выбираются из живой очереди внутри согласованного ресурса. Публикация клиентом и достоверное измерение влияют на результат. Прогноз ниже — условный расчёт, а не гарантия трафика.</w:t>
      </w:r>
    </w:p>
    <w:p>
      <w:r>
        <w:t>В документе: позиции и входы; группы страниц; семантика; точки роста и ссылки; GEO и формула; сценарии; первый цикл; жизненный цикл страницы; смета и KPI; опыт и коммуникация; источники.</w:t>
      </w:r>
    </w:p>
    <w:p>
      <w:r>
        <w:br w:type="page"/>
      </w:r>
    </w:p>
    <w:p>
      <w:pPr>
        <w:pStyle w:val="Heading1"/>
      </w:pPr>
      <w:r>
        <w:t>Позиции и страницы входа</w:t>
      </w:r>
    </w:p>
    <w:p>
      <w:r>
        <w:t>Период трафика — учебный сентябрь 2026. Позиции — 30 сентября 2026, Москва, одинаковые шесть запросов. Числа относятся к заданной выборке, а не всему реальному интернет-сайту.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tblHeader/>
        </w:trPr>
        <w:tc>
          <w:tcPr>
            <w:tcW w:type="dxa" w:w="3402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Яндекс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Google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Органические посещения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340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235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Запросы мониторинга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Запросы в TOP 10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 из 6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 из 6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Запросы в TOP 30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 из 6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 из 6</w:t>
            </w:r>
          </w:p>
        </w:tc>
      </w:tr>
    </w:tbl>
    <w:p/>
    <w:p>
      <w:r>
        <w:t>Общий органический поток — 575 посещений. Источники сопоставлены отдельно: позиции не заменяют трафик, а отсутствие технического отчёта не означает отсутствие ошибок.</w:t>
      </w:r>
    </w:p>
    <w:p>
      <w:r>
        <w:drawing>
          <wp:inline xmlns:a="http://schemas.openxmlformats.org/drawingml/2006/main" xmlns:pic="http://schemas.openxmlformats.org/drawingml/2006/picture">
            <wp:extent cx="5832000" cy="2166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66666"/>
          <w:sz w:val="18"/>
        </w:rPr>
        <w:t>Органический трафик</w:t>
      </w:r>
    </w:p>
    <w:p>
      <w:r>
        <w:t>Сопоставимой конкурентной выгрузки нет. Мы не делаем диагноз отставания по ссылкам или количеству страниц; для реального проекта это отдельная проверка с одинаковыми определениями метрик.</w:t>
      </w:r>
    </w:p>
    <w:p>
      <w:r>
        <w:br w:type="page"/>
      </w:r>
    </w:p>
    <w:p>
      <w:pPr>
        <w:pStyle w:val="Heading1"/>
      </w:pPr>
      <w:r>
        <w:t>Группы страниц и бизнес приоритеты</w:t>
      </w:r>
    </w:p>
    <w:p>
      <w:r>
        <w:t>Поисковая группа показывает текущую силу страницы. Бизнес-приоритет отдельно задан клиентом: дубовые столы и изготовление по размерам. Нулевой поток сам по себе не является доказательством слабости.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324"/>
        <w:gridCol w:w="2268"/>
      </w:tblGrid>
      <w:tr>
        <w:trPr>
          <w:tblHeader/>
        </w:trPr>
        <w:tc>
          <w:tcPr>
            <w:tcW w:type="dxa" w:w="2381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Посещения</w:t>
            </w:r>
          </w:p>
        </w:tc>
        <w:tc>
          <w:tcPr>
            <w:tcW w:type="dxa" w:w="226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Сильные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360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Сохранить охват и улучшить отдачу</w:t>
            </w:r>
          </w:p>
        </w:tc>
      </w:tr>
      <w:tr>
        <w:tc>
          <w:tcPr>
            <w:tcW w:type="dxa" w:w="238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Быстрый рост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205</w:t>
            </w:r>
          </w:p>
        </w:tc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Доработать подтверждённые ограничения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Слабые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Проверить и переделать по доказанной задаче</w:t>
            </w:r>
          </w:p>
        </w:tc>
      </w:tr>
      <w:tr>
        <w:tc>
          <w:tcPr>
            <w:tcW w:type="dxa" w:w="238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Сервисная страница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Сохранить полезную функцию доставки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32000" cy="2166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66666"/>
          <w:sz w:val="18"/>
        </w:rPr>
        <w:t>Поток по группам страниц</w:t>
      </w:r>
    </w:p>
    <w:p>
      <w:r>
        <w:t>/tables/oak/ — сильная приоритетная посадочная с 120 посещениями; /tables/ — приоритет быстрых улучшений с 160. /tables/custom/ требует доработки: в учебной постановке отдельно подтверждены спрос и индексирование, позиции 42/55 и недостаточно раскрыта услуга. /delivery/ не оценивается как товарная поисковая категория.</w:t>
      </w:r>
    </w:p>
    <w:p>
      <w:r>
        <w:br w:type="page"/>
      </w:r>
    </w:p>
    <w:p>
      <w:pPr>
        <w:pStyle w:val="Heading1"/>
      </w:pPr>
      <w:r>
        <w:t>Покрытие семантики</w:t>
      </w:r>
    </w:p>
    <w:p>
      <w:r>
        <w:t>В ядре восемь уникальных запросов, шесть мониторятся: покрытие мониторингом 75%. Семь запросов сопоставлены с существующими URL: 87,5%. Эти доли измеряют разные свойства; отсутствие мониторинга не доказывает отсутствие позиции.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324"/>
        <w:gridCol w:w="2268"/>
      </w:tblGrid>
      <w:tr>
        <w:trPr>
          <w:tblHeader/>
        </w:trPr>
        <w:tc>
          <w:tcPr>
            <w:tcW w:type="dxa" w:w="2381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Кластер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Пример запроса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Текущая посадочная</w:t>
            </w:r>
          </w:p>
        </w:tc>
        <w:tc>
          <w:tcPr>
            <w:tcW w:type="dxa" w:w="226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Изготовление по размерам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стол массив по размерам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/tables/custom/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Расширить существующую</w:t>
            </w:r>
          </w:p>
        </w:tc>
      </w:tr>
      <w:tr>
        <w:tc>
          <w:tcPr>
            <w:tcW w:type="dxa" w:w="238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Складной механизм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складной деревянный стол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Не сопоставлена</w:t>
            </w:r>
          </w:p>
        </w:tc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Проверить кандидат нового интента</w:t>
            </w:r>
          </w:p>
        </w:tc>
      </w:tr>
    </w:tbl>
    <w:p/>
    <w:p>
      <w:r>
        <w:t>Первый кластер нельзя превращать в дополнительный URL только потому, что запрос ещё не отслеживается. Для второго проверим ассортимент, спрос, удобство существующей категории и риск пересечения. Частотность запросов не переводим напрямую в посещения.</w:t>
      </w:r>
    </w:p>
    <w:p>
      <w:r>
        <w:br w:type="page"/>
      </w:r>
    </w:p>
    <w:p>
      <w:pPr>
        <w:pStyle w:val="Heading1"/>
      </w:pPr>
      <w:r>
        <w:t>Точки роста и ссылки для Google</w:t>
      </w:r>
    </w:p>
    <w:p>
      <w:pPr>
        <w:pStyle w:val="Heading2"/>
      </w:pPr>
      <w:r>
        <w:t>Улучшить существующие страницы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324"/>
        <w:gridCol w:w="2268"/>
      </w:tblGrid>
      <w:tr>
        <w:trPr>
          <w:tblHeader/>
        </w:trPr>
        <w:tc>
          <w:tcPr>
            <w:tcW w:type="dxa" w:w="2381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Страница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Предлагаемая работа</w:t>
            </w:r>
          </w:p>
        </w:tc>
        <w:tc>
          <w:tcPr>
            <w:tcW w:type="dxa" w:w="226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Проверка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/tables/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160 посещений и позиции 12/18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Выбор размеров и материалов, соответствие интенту и требования к блокам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Публикация и сопоставимые позиции/входы</w:t>
            </w:r>
          </w:p>
        </w:tc>
      </w:tr>
      <w:tr>
        <w:tc>
          <w:tcPr>
            <w:tcW w:type="dxa" w:w="238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/tables/custom/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Спрос, индексирование и позиции 42/55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Условия изготовления, процесс заказа и подтверждённые примеры</w:t>
            </w:r>
          </w:p>
        </w:tc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Приёмка и измерение выбранного кластера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/tables/oak/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Сильная приоритетная посадочная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Сохранить релевантность, уточнить доказательства выбора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Не потерять текущий охват</w:t>
            </w:r>
          </w:p>
        </w:tc>
      </w:tr>
    </w:tbl>
    <w:p/>
    <w:p>
      <w:pPr>
        <w:pStyle w:val="Heading2"/>
      </w:pPr>
      <w:r>
        <w:t>Проверить создание новой страницы</w:t>
      </w:r>
    </w:p>
    <w:p>
      <w:r>
        <w:t>Кандидат — самостоятельный интент складного механизма. Создание начинается после подтверждения линейки и проверки отсутствия подходящей посадочной. Результат этой проверки может быть расширением существующей страницы, а не новым URL.</w:t>
      </w:r>
    </w:p>
    <w:p>
      <w:pPr>
        <w:pStyle w:val="Heading2"/>
      </w:pPr>
      <w:r>
        <w:t>Ссылочный дожим</w:t>
      </w:r>
    </w:p>
    <w:p>
      <w:r>
        <w:t>Целевой кандидат Google — /tables/: она соответствует поисковой задаче и уже видима. Но ссылочного аудита в учебных данных нет; слабость профиля не утверждается. Перед размещениями проверим релевантные страницы и площадки, необходимость фонда и правила оценки результата. Внешние расходы отделены от гонорара агентства.</w:t>
      </w:r>
    </w:p>
    <w:p>
      <w:r>
        <w:br w:type="page"/>
      </w:r>
    </w:p>
    <w:p>
      <w:pPr>
        <w:pStyle w:val="Heading1"/>
      </w:pPr>
      <w:r>
        <w:t>GEO и формула роста</w:t>
      </w:r>
    </w:p>
    <w:p>
      <w:r>
        <w:t>В этом запуске GEO не включается. Если клиент выберет его отдельно, сначала измерим реальные ответы: упоминание бренда, рекомендацию и цитирование различаем. Неизмеренную исходную точку нельзя выдавать за установленный разрыв.</w:t>
      </w:r>
    </w:p>
    <w:p>
      <w:r>
        <w:t>В SEO рост зависит от технической доступности, покрытия интентов, релевантности, ссылок и скорости публикации. Это карта рычагов, а не измеренная мультипликативная модель. Коэффициенты не назначаются по внешнему виду сайта.</w:t>
      </w:r>
    </w:p>
    <w:p>
      <w:r>
        <w:t>Обращения = органические посещения × измеренная конверсия.</w:t>
      </w:r>
    </w:p>
    <w:p>
      <w:r>
        <w:t>В учебном сентябре 23 подтверждённых обращения из 575 посещений дают 4%. Определение и дедупликация относятся к той же выборке. Конверсия применяется к обращениям; ею нельзя умножать трафик и называть итог посещениями.</w:t>
      </w:r>
    </w:p>
    <w:p>
      <w:r>
        <w:br w:type="page"/>
      </w:r>
    </w:p>
    <w:p>
      <w:pPr>
        <w:pStyle w:val="Heading1"/>
      </w:pPr>
      <w:r>
        <w:t>Сценарный прогноз</w:t>
      </w:r>
    </w:p>
    <w:p>
      <w:r>
        <w:t>Для иллюстрации взята одна когорта: оптимизация /tables/ с базой 160 посещений в месяц и новая страница складного интента после подтверждения её необходимости. Прирост существующей — 20/30/40%; зрелый поток новой — 30/50/70. Это допущения трёх сценариев, а не проверенные нормы.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324"/>
        <w:gridCol w:w="2268"/>
      </w:tblGrid>
      <w:tr>
        <w:trPr>
          <w:tblHeader/>
        </w:trPr>
        <w:tc>
          <w:tcPr>
            <w:tcW w:type="dxa" w:w="2381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Зрелый прирост в месяц</w:t>
            </w:r>
          </w:p>
        </w:tc>
        <w:tc>
          <w:tcPr>
            <w:tcW w:type="dxa" w:w="2324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База и прирост в зрелый месяц</w:t>
            </w:r>
          </w:p>
        </w:tc>
        <w:tc>
          <w:tcPr>
            <w:tcW w:type="dxa" w:w="226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Накопленный прирост за 6 периодов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Осторожный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62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637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232,5</w:t>
            </w:r>
          </w:p>
        </w:tc>
      </w:tr>
      <w:tr>
        <w:tc>
          <w:tcPr>
            <w:tcW w:type="dxa" w:w="238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Рабочий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673</w:t>
            </w:r>
          </w:p>
        </w:tc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367,5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Ускоренный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134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709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502,5</w:t>
            </w:r>
          </w:p>
        </w:tc>
      </w:tr>
    </w:tbl>
    <w:p/>
    <w:p>
      <w:r>
        <w:t>Единицы — дополнительные посещения или общий месячный поток. Базовая траектория 575 постоянна только как условное допущение. Созревание после публикации по периодам: 0; 25%; 50%; 100%; 100%; 100%. В рабочем сценарии прирост первого периода 0, второго 24,5, третьего 49, с четвёртого 98. Накопленный эффект — сумма периодов, а не зрелый поток, умноженный на шесть.</w:t>
      </w:r>
    </w:p>
    <w:p>
      <w:r>
        <w:t>Задержка публикации сдвигает траекторию. Повторные изменения одного URL не создают ещё одну независимую когорту. Числа математического ожидания могут быть дробными; это не фактическое число будущих посетителей. Для реального прогноза нужна калибровка по сопоставимым страницам; гарантии здесь нет.</w:t>
      </w:r>
    </w:p>
    <w:p>
      <w:r>
        <w:br w:type="page"/>
      </w:r>
    </w:p>
    <w:p>
      <w:pPr>
        <w:pStyle w:val="Heading1"/>
      </w:pPr>
      <w:r>
        <w:t>Работы первого цикла и живая очередь</w:t>
      </w:r>
    </w:p>
    <w:p>
      <w:r>
        <w:t>Первый цикл направлен на проверку и внедрение приоритетного решения. В пределах 18 согласованных часов уточним данные, проверим интенты, подготовим требования к /tables/ и /tables/custom/, согласуем их с клиентом и проверим опубликованные изменения. Технические ограничения проверяются отдельно по доступным отчётам.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tblHeader/>
        </w:trPr>
        <w:tc>
          <w:tcPr>
            <w:tcW w:type="dxa" w:w="3402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Работа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Передаваемый результат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Приёмка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Сопоставление спроса и URL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Карта выбранных интентов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Нет дублирующих посадочных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Требования к приоритетным страницам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Конкретные изменения блоков и текста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Клиент понимает, что внедрять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Поддержка публикации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Проверка реализованных изменений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Согласованные задачи приняты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Измерение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Срез по тем же страницам/запросам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Период, источник и ограничения видны</w:t>
            </w:r>
          </w:p>
        </w:tc>
      </w:tr>
    </w:tbl>
    <w:p/>
    <w:p>
      <w:r>
        <w:t>Далее ведём живую очередь по эффекту, данным и готовности клиента внедрять. Не обещаем одинаковую квоту новых страниц каждый месяц. Отсутствие искусственной квоты не означает неограниченную работу: действует согласованный ресурс. Если требуется больше мощности, новый объём и стоимость обсуждаются отдельно.</w:t>
      </w:r>
    </w:p>
    <w:p>
      <w:r>
        <w:br w:type="page"/>
      </w:r>
    </w:p>
    <w:p>
      <w:pPr>
        <w:pStyle w:val="Heading1"/>
      </w:pPr>
      <w:r>
        <w:t>Жизненный цикл страницы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tblHeader/>
        </w:trPr>
        <w:tc>
          <w:tcPr>
            <w:tcW w:type="dxa" w:w="3402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Ответственная сторона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Выбор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Подтверждённый интент и бизнес-смысл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Агентство и клиент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Диагностика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Основания конкретной доработки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Агентство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Требования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Блоки, содержание, SEO и приёмка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Агентство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Контент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Проверенные материалы и примеры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Клиент с поддержкой агентства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Согласование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Принятый объём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Клиент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Публикация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Работающая страница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Клиент и его разработчик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Контроль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Проверка внедрённого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Агентство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Измерение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Сопоставимый эффект после публикации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Агентство и клиент</w:t>
            </w:r>
          </w:p>
        </w:tc>
      </w:tr>
    </w:tbl>
    <w:p/>
    <w:p>
      <w:r>
        <w:t>Переданное ТЗ не равно опубликованной странице. Окно оценки начинается после фактического внедрения и контрольной проверки, а не по дате создания документа.</w:t>
      </w:r>
    </w:p>
    <w:p>
      <w:r>
        <w:br w:type="page"/>
      </w:r>
    </w:p>
    <w:p>
      <w:pPr>
        <w:pStyle w:val="Heading1"/>
      </w:pPr>
      <w:r>
        <w:t>Смета условия и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tblHeader/>
        </w:trPr>
        <w:tc>
          <w:tcPr>
            <w:tcW w:type="dxa" w:w="3402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Результат или ресурс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Сумма в месяц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SEO агентства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18 часов по 2500 ₽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45 000 ₽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Внешний фонд при выборе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Согласованные размещения отдельно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10 000 ₽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Итог с фондом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Две указанные статьи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55 000 ₽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Контент и разработка клиента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Внедрение согласованных задач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Не определено и не включено</w:t>
            </w:r>
          </w:p>
        </w:tc>
      </w:tr>
    </w:tbl>
    <w:p/>
    <w:p>
      <w:r>
        <w:t>Все цены вымышлены для примера. Без выбора внешнего фонда первый цикл стоит 45 000 ₽ по этим учебным условиям. Дополнительные работы не входят в ресурс автоматически. Бонус и гарантии роста не согласованы.</w:t>
      </w:r>
    </w:p>
    <w:p>
      <w:r>
        <w:t>KPI разделены: приёмка работ агентства; публикация клиентом; затем эффект на выбранных опубликованных страницах в сопоставимом окне. Baseline — учебный сентябрь 2026, позиции 30 сентября. Будущую контрольную дату назначаем после публикации; при задержке внедрения окно сдвигается. Весов 70/30 и условия бонуса по умолчанию нет.</w:t>
      </w:r>
    </w:p>
    <w:p>
      <w:r>
        <w:br w:type="page"/>
      </w:r>
    </w:p>
    <w:p>
      <w:pPr>
        <w:pStyle w:val="Heading1"/>
      </w:pPr>
      <w:r>
        <w:t>Опыт коммуникация и следующий шаг</w:t>
      </w:r>
    </w:p>
    <w:p>
      <w:r>
        <w:t>Подтверждённых клиентских кейсов в примере нет. Их нельзя заменить вымышленными успехами. Для реального предложения агентство добавляет только разрешённый релевантный опыт с источниками.</w:t>
      </w:r>
    </w:p>
    <w:p>
      <w:r>
        <w:t>В учебном сценарии клиент принимает объём и обеспечивает контент/разработку; агентство готовит требования, сопровождает внедрение и измеряет. Встреча по первому циклу — согласовать страницы, результат и ресурс; затем короткий регулярный отчёт по опубликованным задачам и незакрытым зависимостям. Периодичность отчётности в реальном проекте подтверждается условиями агентства.</w:t>
      </w:r>
    </w:p>
    <w:p>
      <w:r>
        <w:t>Следующий шаг — подтвердить состав первого цикла и доступные технические отчёты. По мере проверки уточняется объём, выбранный внешний фонд и контрольные даты. Предложение связывает конкретные изменения с проверкой; оно не обещает рост без внедрения.</w:t>
      </w:r>
    </w:p>
    <w:p>
      <w:r>
        <w:br w:type="page"/>
      </w:r>
    </w:p>
    <w:p>
      <w:pPr>
        <w:pStyle w:val="Heading1"/>
      </w:pPr>
      <w:r>
        <w:t>Источники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tblHeader/>
        </w:trPr>
        <w:tc>
          <w:tcPr>
            <w:tcW w:type="dxa" w:w="3402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Период и охват</w:t>
            </w:r>
          </w:p>
        </w:tc>
        <w:tc>
          <w:tcPr>
            <w:tcW w:type="dxa" w:w="2948"/>
            <w:vAlign w:val="center"/>
            <w:shd w:fill="DCEC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Использование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pages.csv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Учебный сентябрь 2026, шесть URL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Поток, группы и решения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queries.csv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30 сентября, восемь запросов ядра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Позиции, мониторинг и сопоставление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brief.md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Учебные указания клиента и агентства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Приоритеты, конверсия и экономика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forecast.csv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Шесть условных периодов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Сценарии по одной когорте</w:t>
            </w:r>
          </w:p>
        </w:tc>
      </w:tr>
    </w:tbl>
    <w:p/>
    <w:p>
      <w:r>
        <w:t>Технический аудит, конкурентные ссылки и GEO реально не измерялись. Все входные данные синтетические. Word/PDF показывает готовую форму, но не означает независимую приёмку агентом или согласие клиента. Подробные расчёты и происхождение допущений находятся рядом с документом.</w:t>
      </w:r>
    </w:p>
    <w:sectPr w:rsidR="00FC693F" w:rsidRPr="0006063C" w:rsidSect="00034616">
      <w:footerReference w:type="default" r:id="rId9"/>
      <w:pgSz w:w="11906" w:h="16838"/>
      <w:pgMar w:top="1298" w:right="1298" w:bottom="1298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 xml:space="preserve">Учебный пример · example.org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59" w:lineRule="auto"/>
    </w:pPr>
    <w:rPr>
      <w:rFonts w:ascii="Arial" w:hAnsi="Arial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Учебное коммерческое предложение для мебельного проекта</dc:title>
  <dc:subject>Synthetic example; no client data</dc:subject>
  <dc:creator>SEOMEAT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