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E9F" w:rsidRDefault="00DB0E9F" w:rsidP="00DB0E9F">
      <w:pPr>
        <w:pStyle w:val="Heading2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bookmarkStart w:id="0" w:name="_Toc231229823"/>
      <w:r>
        <w:rPr>
          <w:rFonts w:ascii="Century Gothic" w:hAnsi="Century Gothic"/>
          <w:sz w:val="24"/>
          <w:szCs w:val="24"/>
        </w:rPr>
        <w:t>Objectives, KPIs, Formula and Commentary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666"/>
        <w:gridCol w:w="1365"/>
        <w:gridCol w:w="1254"/>
        <w:gridCol w:w="1962"/>
        <w:gridCol w:w="2555"/>
      </w:tblGrid>
      <w:tr w:rsidR="00DB0E9F" w:rsidTr="00DB0E9F">
        <w:trPr>
          <w:jc w:val="center"/>
        </w:trPr>
        <w:tc>
          <w:tcPr>
            <w:tcW w:w="548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No.</w:t>
            </w:r>
          </w:p>
        </w:tc>
        <w:tc>
          <w:tcPr>
            <w:tcW w:w="1687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Strategic Objective Category</w:t>
            </w:r>
          </w:p>
        </w:tc>
        <w:tc>
          <w:tcPr>
            <w:tcW w:w="1180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KPI</w:t>
            </w:r>
          </w:p>
        </w:tc>
        <w:tc>
          <w:tcPr>
            <w:tcW w:w="1284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Unit</w:t>
            </w:r>
          </w:p>
        </w:tc>
        <w:tc>
          <w:tcPr>
            <w:tcW w:w="2003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Formula / Measurement</w:t>
            </w:r>
          </w:p>
        </w:tc>
        <w:tc>
          <w:tcPr>
            <w:tcW w:w="2648" w:type="dxa"/>
            <w:shd w:val="clear" w:color="auto" w:fill="1F4E79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KPI Commentary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Strengthen Financial Performance and Profitability</w:t>
            </w: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Gross Profit Margin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Gross Profit / Total Revenue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profitability after direct delivery costs such as trainers, consultants, travel, venue, materials, logistics and subcontractors.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Operating Profit Margin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Operating Profit / EBIT / Total Revenue x 100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whether the company remains profitable after direct delivery costs and operating expenses.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Collection Rate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Cash Collected / Total Invoiced Amount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how effectively invoiced revenue is converted into cash.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2</w:t>
            </w: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Build a Strong and Sustainable Business Pipeline</w:t>
            </w: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Qualified Pipeline Coverage Ratio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Ratio / multiple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Qualified Pipeline Value / Annual Revenue Target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Measures whether </w:t>
            </w:r>
            <w:proofErr w:type="spellStart"/>
            <w:r>
              <w:rPr>
                <w:rFonts w:ascii="Century Gothic" w:hAnsi="Century Gothic"/>
                <w:sz w:val="20"/>
              </w:rPr>
              <w:t>i</w:t>
            </w:r>
            <w:proofErr w:type="spellEnd"/>
            <w:r>
              <w:rPr>
                <w:rFonts w:ascii="Century Gothic" w:hAnsi="Century Gothic"/>
                <w:sz w:val="20"/>
              </w:rPr>
              <w:t>-Capital has enough credible future business opportunities to achieve its revenue target.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Proposal Win Rate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Won Proposals / Submitted Proposals x 100 or Value of Won Proposals / Value of Submitted Proposals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how effectively submitted proposals, bids, concept notes or pitches convert into signed assignments.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Strategic Partnership Conversion Rate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Signed Strategic Partnerships / Qualified Strategic Partnership Opportunities x 100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conversion of partnership opportunities into formal commercial, technical, knowledge, market-access or delivery partnerships.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3</w:t>
            </w: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Grow Strategic and Innovative Revenue Portfolios</w:t>
            </w: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Strategic Portfolio Revenue Ratio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Strategic Portfolio Revenue / Total Revenue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the share of total revenue generated from priority strategic services.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Innovation Revenue Ratio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Revenue from Innovations Introduced During the Year / Total Revenue x 100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Measures the percentage of revenue generated from new products, services, platforms, methodologies or </w:t>
            </w:r>
            <w:r>
              <w:rPr>
                <w:rFonts w:ascii="Century Gothic" w:hAnsi="Century Gothic"/>
                <w:sz w:val="20"/>
              </w:rPr>
              <w:lastRenderedPageBreak/>
              <w:t>delivery models introduced during the year.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lastRenderedPageBreak/>
              <w:t>4</w:t>
            </w: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Deepen Client Relationships and Market Trust</w:t>
            </w: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Repeat Client Revenue Ratio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Revenue from Repeat Clients / Total Revenue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Measures the percentage of revenue generated from clients that have previously worked with </w:t>
            </w:r>
            <w:proofErr w:type="spellStart"/>
            <w:r>
              <w:rPr>
                <w:rFonts w:ascii="Century Gothic" w:hAnsi="Century Gothic"/>
                <w:sz w:val="20"/>
              </w:rPr>
              <w:t>i</w:t>
            </w:r>
            <w:proofErr w:type="spellEnd"/>
            <w:r>
              <w:rPr>
                <w:rFonts w:ascii="Century Gothic" w:hAnsi="Century Gothic"/>
                <w:sz w:val="20"/>
              </w:rPr>
              <w:t>-Capital.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Thought Leadership and Market Influence Index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Index score / 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Weighted score of forums, publications, market briefs, policy notes, media visibility, speaking engagements and stakeholder engagements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Measures </w:t>
            </w:r>
            <w:proofErr w:type="spellStart"/>
            <w:r>
              <w:rPr>
                <w:rFonts w:ascii="Century Gothic" w:hAnsi="Century Gothic"/>
                <w:sz w:val="20"/>
              </w:rPr>
              <w:t>i</w:t>
            </w:r>
            <w:proofErr w:type="spellEnd"/>
            <w:r>
              <w:rPr>
                <w:rFonts w:ascii="Century Gothic" w:hAnsi="Century Gothic"/>
                <w:sz w:val="20"/>
              </w:rPr>
              <w:t>-Capital visibility, credibility, convening power and market influence.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5</w:t>
            </w: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Enhance Delivery Excellence and Service Quality</w:t>
            </w: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Delivery Excellence Rate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Deliverables Completed On Time and Accepted Without Major Revision / Total Deliverables Due x 100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the percentage of deliverables completed on time and accepted without major revision.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6</w:t>
            </w: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Build a Productive, Capable, and Knowledge-Driven Organization</w:t>
            </w: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Professional Staff Utilization Rate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Productive Professional Hours / Available Professional Hours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how much professional staff time is used for productive work.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Knowledge Product Completion Rate</w:t>
            </w:r>
          </w:p>
        </w:tc>
        <w:tc>
          <w:tcPr>
            <w:tcW w:w="1284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Completed and Approved Knowledge Products / Planned Knowledge Products x 100</w:t>
            </w:r>
          </w:p>
        </w:tc>
        <w:tc>
          <w:tcPr>
            <w:tcW w:w="2648" w:type="dxa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completion of reusable knowledge products such as SOPs, templates, Securities Valuation models, diagnostic tools, market briefs, modules, checklists and dashboards.</w:t>
            </w:r>
          </w:p>
        </w:tc>
      </w:tr>
      <w:tr w:rsidR="00DB0E9F" w:rsidTr="00DB0E9F">
        <w:trPr>
          <w:jc w:val="center"/>
        </w:trPr>
        <w:tc>
          <w:tcPr>
            <w:tcW w:w="5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687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1180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Staff Retention Rate</w:t>
            </w:r>
          </w:p>
        </w:tc>
        <w:tc>
          <w:tcPr>
            <w:tcW w:w="1284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%</w:t>
            </w:r>
          </w:p>
        </w:tc>
        <w:tc>
          <w:tcPr>
            <w:tcW w:w="2003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Staff Retained During the Period / Staff at Beginning of Period x 100</w:t>
            </w:r>
          </w:p>
        </w:tc>
        <w:tc>
          <w:tcPr>
            <w:tcW w:w="2648" w:type="dxa"/>
            <w:shd w:val="clear" w:color="auto" w:fill="F2F2F2"/>
          </w:tcPr>
          <w:p w:rsidR="00DB0E9F" w:rsidRDefault="00DB0E9F" w:rsidP="00063798">
            <w:pPr>
              <w:spacing w:after="0" w:line="240" w:lineRule="auto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Measures ability to retain staff, especially professional and key talent.</w:t>
            </w:r>
          </w:p>
        </w:tc>
      </w:tr>
    </w:tbl>
    <w:p w:rsidR="009A2136" w:rsidRDefault="00DB0E9F">
      <w:bookmarkStart w:id="1" w:name="_GoBack"/>
      <w:bookmarkEnd w:id="1"/>
    </w:p>
    <w:sectPr w:rsidR="009A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FE255E"/>
    <w:multiLevelType w:val="multilevel"/>
    <w:tmpl w:val="6CFE255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E9F"/>
    <w:rsid w:val="00A80447"/>
    <w:rsid w:val="00C5515D"/>
    <w:rsid w:val="00DB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392FB-21B6-46FD-818C-124A94C9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E9F"/>
    <w:pPr>
      <w:spacing w:after="200" w:line="276" w:lineRule="auto"/>
    </w:pPr>
    <w:rPr>
      <w:rFonts w:ascii="Arial" w:eastAsiaTheme="minorEastAsia" w:hAnsi="Arial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E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DB0E9F"/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table" w:styleId="TableGrid">
    <w:name w:val="Table Grid"/>
    <w:basedOn w:val="TableNormal"/>
    <w:uiPriority w:val="59"/>
    <w:rsid w:val="00DB0E9F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Objectives, KPIs, Formula and Commentary</vt:lpstr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2026-07-20T07:22:00Z</dcterms:created>
  <dcterms:modified xsi:type="dcterms:W3CDTF">2026-07-20T07:24:00Z</dcterms:modified>
</cp:coreProperties>
</file>