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FASE DE DESARROLLO DEL SISTEMA DE INVENTARIOS MRO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Caso de estudio: YPFB Transporte S.A.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Construcción del prototipo funcional y evidencia de su funcionamiento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Tatiana Aramayo, Ariana Cordero, Patricia Quisbert y Melany Sonco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Sistemas de Información Gerencial · Facultad de Ingenierías y Arquitectura · Universidad Privada Boliviana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Octubre de 2026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fase de desarrollo convierte los modelos de las fases anteriores en un sistema que funciona. Se construyó un prototipo con las tres capas de la propuesta tecnológica: una aplicación web en React, una API de negocio en Node.js con Express, un trabajador de integración, una base de datos PostgreSQL de 23 tablas y una cola de operaciones en RabbitMQ. El WMS y el ERP de YPFB Transporte S.A. son sistemas existentes; en el prototipo los reemplazan dos simuladores que exponen el mismo contrato de integración, de modo que el sistema se prueba con reservas, salidas, órdenes de compra, recepciones y fallas reales de comunicación.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El prototipo es básico en alcance, pero aplica todos los conceptos de inventario definidos en la fase conceptual: registro perpetuo, stock disponible, posición de inventario, stock de seguridad, punto de reorden, EOQ, costo promedio ponderado, salida por FEFO o PEPS y control de piezas retiradas. También aplica los controles de integración: un dato con un solo dueño, código maestro único, bandeja de salida, idempotencia, reintentos, incidencias y bitácora inalterable. Este documento describe cómo se construyó, qué cubre y la evidencia de que funciona.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 Objetivo y alcance del desarrollo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El objetivo es demostrar que el sistema de información vincula Mantenimiento, Inventario y Compras sin duplicar datos y sin perder operaciones cuando un sistema externo falla. La tabla 1 separa lo que el prototipo implementa de lo que queda para la puesta en producción.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1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Alcance del prototipo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4072"/>
        <w:gridCol w:w="3307"/>
      </w:tblGrid>
      <w:tr>
        <w:trPr>
          <w:cantSplit/>
          <w:tblHeader/>
        </w:trPr>
        <w:tc>
          <w:tcPr>
            <w:tcW w:type="dxa" w:w="1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Elemento</w:t>
            </w:r>
          </w:p>
        </w:tc>
        <w:tc>
          <w:tcPr>
            <w:tcW w:type="dxa" w:w="4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En el prototipo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Para producción</w:t>
            </w:r>
          </w:p>
        </w:tc>
      </w:tr>
      <w:tr>
        <w:trPr>
          <w:cantSplit/>
          <w:tblHeader w:val="off"/>
        </w:trPr>
        <w:tc>
          <w:tcPr>
            <w:tcW w:type="dxa" w:w="1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Aplicación web por rol</w:t>
            </w:r>
          </w:p>
        </w:tc>
        <w:tc>
          <w:tcPr>
            <w:tcW w:type="dxa" w:w="4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Implementada en React; adaptable a tableta y teléfono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Despliegue con HTTPS en el servidor web de la empresa</w:t>
            </w:r>
          </w:p>
        </w:tc>
      </w:tr>
      <w:tr>
        <w:trPr>
          <w:cantSplit/>
          <w:tblHeader w:val="off"/>
        </w:trPr>
        <w:tc>
          <w:tcPr>
            <w:tcW w:type="dxa" w:w="1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API de negocio</w:t>
            </w:r>
          </w:p>
        </w:tc>
        <w:tc>
          <w:tcPr>
            <w:tcW w:type="dxa" w:w="4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Implementada en Node.js 22 y Express 4 con autenticación JWT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Igual; secretos en un gestor de claves</w:t>
            </w:r>
          </w:p>
        </w:tc>
      </w:tr>
      <w:tr>
        <w:trPr>
          <w:cantSplit/>
          <w:tblHeader w:val="off"/>
        </w:trPr>
        <w:tc>
          <w:tcPr>
            <w:tcW w:type="dxa" w:w="1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Trabajador de integración</w:t>
            </w:r>
          </w:p>
        </w:tc>
        <w:tc>
          <w:tcPr>
            <w:tcW w:type="dxa" w:w="4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Implementado; transmite la bandeja de salida, reintenta y concilia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Igual</w:t>
            </w:r>
          </w:p>
        </w:tc>
      </w:tr>
      <w:tr>
        <w:trPr>
          <w:cantSplit/>
          <w:tblHeader w:val="off"/>
        </w:trPr>
        <w:tc>
          <w:tcPr>
            <w:tcW w:type="dxa" w:w="1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4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PostgreSQL 16 con 23 tablas, restricciones y disparador de bitácora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Igual, con copia de seguridad diaria</w:t>
            </w:r>
          </w:p>
        </w:tc>
      </w:tr>
      <w:tr>
        <w:trPr>
          <w:cantSplit/>
          <w:tblHeader w:val="off"/>
        </w:trPr>
        <w:tc>
          <w:tcPr>
            <w:tcW w:type="dxa" w:w="1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Cola de operaciones</w:t>
            </w:r>
          </w:p>
        </w:tc>
        <w:tc>
          <w:tcPr>
            <w:tcW w:type="dxa" w:w="4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RabbitMQ 3.12: cola principal, reintento con TTL y fallidas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Igual</w:t>
            </w:r>
          </w:p>
        </w:tc>
      </w:tr>
      <w:tr>
        <w:trPr>
          <w:cantSplit/>
          <w:tblHeader w:val="off"/>
        </w:trPr>
        <w:tc>
          <w:tcPr>
            <w:tcW w:type="dxa" w:w="1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WMS y ERP</w:t>
            </w:r>
          </w:p>
        </w:tc>
        <w:tc>
          <w:tcPr>
            <w:tcW w:type="dxa" w:w="4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Simuladores con el mismo contrato REST y webhooks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Conexión con los sistemas reales de YPFB Transporte</w:t>
            </w:r>
          </w:p>
        </w:tc>
      </w:tr>
      <w:tr>
        <w:trPr>
          <w:cantSplit/>
          <w:tblHeader w:val="off"/>
        </w:trPr>
        <w:tc>
          <w:tcPr>
            <w:tcW w:type="dxa" w:w="19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Tablero gerencial</w:t>
            </w:r>
          </w:p>
        </w:tc>
        <w:tc>
          <w:tcPr>
            <w:tcW w:type="dxa" w:w="4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Fuera de alcance (fase 3, Power BI)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Vista de solo lectura sobre PostgreSQL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El código fuente, la base de datos, las pruebas y la colección de Postman se entregan en el repositorio del proyecto (carpeta ypfb-mro). La interfaz también se publicó como página de demostración que ejecuta el mismo núcleo de reglas en el navegador, para la presentación ante el docente.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 Arquitectura implementada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solución respeta la arquitectura de tres capas definida en la propuesta tecnológica. Cada capa solo se comunica con la contigua: la interfaz no accede a la base de datos y la API no escribe en el WMS ni en el ERP. La figura 1 reproduce el diagrama de contenedores y la tabla 2 indica dónde está cada pieza en el código.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Figura 1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Contenedores implementados (modelo C4, nivel 2)</w:t>
      </w:r>
    </w:p>
    <w:p>
      <w:pPr>
        <w:keepNext/>
        <w:jc w:val="center"/>
      </w:pPr>
      <w:r>
        <w:drawing>
          <wp:inline distT="0" distB="0" distL="0" distR="0">
            <wp:extent cx="59436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Elaboración propia. Corresponde a la figura 3 de la propuesta tecnológica.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2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Capas, tecnologías y ubicación en el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3"/>
        <w:gridCol w:w="2310"/>
        <w:gridCol w:w="1685"/>
        <w:gridCol w:w="3822"/>
      </w:tblGrid>
      <w:tr>
        <w:trPr>
          <w:cantSplit/>
          <w:tblHeader/>
        </w:trPr>
        <w:tc>
          <w:tcPr>
            <w:tcW w:type="dxa" w:w="1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Capa</w:t>
            </w:r>
          </w:p>
        </w:tc>
        <w:tc>
          <w:tcPr>
            <w:tcW w:type="dxa" w:w="2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Pieza</w:t>
            </w:r>
          </w:p>
        </w:tc>
        <w:tc>
          <w:tcPr>
            <w:tcW w:type="dxa" w:w="1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Carpeta</w:t>
            </w:r>
          </w:p>
        </w:tc>
      </w:tr>
      <w:tr>
        <w:trPr>
          <w:cantSplit/>
          <w:tblHeader w:val="off"/>
        </w:trPr>
        <w:tc>
          <w:tcPr>
            <w:tcW w:type="dxa" w:w="1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Presentación</w:t>
            </w:r>
          </w:p>
        </w:tc>
        <w:tc>
          <w:tcPr>
            <w:tcW w:type="dxa" w:w="2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Aplicación web por rol</w:t>
            </w:r>
          </w:p>
        </w:tc>
        <w:tc>
          <w:tcPr>
            <w:tcW w:type="dxa" w:w="1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React 18</w:t>
            </w:r>
          </w:p>
        </w:tc>
        <w:tc>
          <w:tcPr>
            <w:tcW w:type="dxa" w:w="3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web/src</w:t>
            </w:r>
          </w:p>
        </w:tc>
      </w:tr>
      <w:tr>
        <w:trPr>
          <w:cantSplit/>
          <w:tblHeader w:val="off"/>
        </w:trPr>
        <w:tc>
          <w:tcPr>
            <w:tcW w:type="dxa" w:w="1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Lógica</w:t>
            </w:r>
          </w:p>
        </w:tc>
        <w:tc>
          <w:tcPr>
            <w:tcW w:type="dxa" w:w="2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API de negocio, monolito modular</w:t>
            </w:r>
          </w:p>
        </w:tc>
        <w:tc>
          <w:tcPr>
            <w:tcW w:type="dxa" w:w="1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Node.js 22, Express 4, JWT</w:t>
            </w:r>
          </w:p>
        </w:tc>
        <w:tc>
          <w:tcPr>
            <w:tcW w:type="dxa" w:w="3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api/src</w:t>
            </w:r>
          </w:p>
        </w:tc>
      </w:tr>
      <w:tr>
        <w:trPr>
          <w:cantSplit/>
          <w:tblHeader w:val="off"/>
        </w:trPr>
        <w:tc>
          <w:tcPr>
            <w:tcW w:type="dxa" w:w="1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Lógica</w:t>
            </w:r>
          </w:p>
        </w:tc>
        <w:tc>
          <w:tcPr>
            <w:tcW w:type="dxa" w:w="2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Trabajador de integración</w:t>
            </w:r>
          </w:p>
        </w:tc>
        <w:tc>
          <w:tcPr>
            <w:tcW w:type="dxa" w:w="1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Node.js, amqplib</w:t>
            </w:r>
          </w:p>
        </w:tc>
        <w:tc>
          <w:tcPr>
            <w:tcW w:type="dxa" w:w="3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worker</w:t>
            </w:r>
          </w:p>
        </w:tc>
      </w:tr>
      <w:tr>
        <w:trPr>
          <w:cantSplit/>
          <w:tblHeader w:val="off"/>
        </w:trPr>
        <w:tc>
          <w:tcPr>
            <w:tcW w:type="dxa" w:w="1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Lógica</w:t>
            </w:r>
          </w:p>
        </w:tc>
        <w:tc>
          <w:tcPr>
            <w:tcW w:type="dxa" w:w="2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Núcleo de reglas: servicios, cálculos, estados, maestros y permisos</w:t>
            </w:r>
          </w:p>
        </w:tc>
        <w:tc>
          <w:tcPr>
            <w:tcW w:type="dxa" w:w="1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JavaScript sin dependencias</w:t>
            </w:r>
          </w:p>
        </w:tc>
        <w:tc>
          <w:tcPr>
            <w:tcW w:type="dxa" w:w="3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core</w:t>
            </w:r>
          </w:p>
        </w:tc>
      </w:tr>
      <w:tr>
        <w:trPr>
          <w:cantSplit/>
          <w:tblHeader w:val="off"/>
        </w:trPr>
        <w:tc>
          <w:tcPr>
            <w:tcW w:type="dxa" w:w="1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Datos</w:t>
            </w:r>
          </w:p>
        </w:tc>
        <w:tc>
          <w:tcPr>
            <w:tcW w:type="dxa" w:w="2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Base de datos propia</w:t>
            </w:r>
          </w:p>
        </w:tc>
        <w:tc>
          <w:tcPr>
            <w:tcW w:type="dxa" w:w="1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db</w:t>
            </w:r>
          </w:p>
        </w:tc>
      </w:tr>
      <w:tr>
        <w:trPr>
          <w:cantSplit/>
          <w:tblHeader w:val="off"/>
        </w:trPr>
        <w:tc>
          <w:tcPr>
            <w:tcW w:type="dxa" w:w="1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Datos</w:t>
            </w:r>
          </w:p>
        </w:tc>
        <w:tc>
          <w:tcPr>
            <w:tcW w:type="dxa" w:w="2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Cola de operaciones pendientes</w:t>
            </w:r>
          </w:p>
        </w:tc>
        <w:tc>
          <w:tcPr>
            <w:tcW w:type="dxa" w:w="1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RabbitMQ 3.12</w:t>
            </w:r>
          </w:p>
        </w:tc>
        <w:tc>
          <w:tcPr>
            <w:tcW w:type="dxa" w:w="3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api/src/adaptadores/cola-rabbitmq.js</w:t>
            </w:r>
          </w:p>
        </w:tc>
      </w:tr>
      <w:tr>
        <w:trPr>
          <w:cantSplit/>
          <w:tblHeader w:val="off"/>
        </w:trPr>
        <w:tc>
          <w:tcPr>
            <w:tcW w:type="dxa" w:w="1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Sistemas existentes</w:t>
            </w:r>
          </w:p>
        </w:tc>
        <w:tc>
          <w:tcPr>
            <w:tcW w:type="dxa" w:w="2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Simuladores del WMS y del ERP</w:t>
            </w:r>
          </w:p>
        </w:tc>
        <w:tc>
          <w:tcPr>
            <w:tcW w:type="dxa" w:w="1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Express</w:t>
            </w:r>
          </w:p>
        </w:tc>
        <w:tc>
          <w:tcPr>
            <w:tcW w:type="dxa" w:w="38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mocks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2.1 Bajo acoplamiento y alta cohesión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Las reglas del proceso están en un núcleo que no conoce Express, SQL ni HTTP. El núcleo recibe sus dependencias como puertos (interfaces): repositorios de datos, cliente del WMS, cliente del ERP, cola, reloj y generador de identificadores. La raíz de composición (api/src/contenedor.js) es el único lugar donde se eligen las implementaciones concretas. Por eso el mismo núcleo se ejecuta en el servidor con PostgreSQL y en la página de demostración con repositorios en memoria, sin cambiar una línea de las reglas. Esa es la evidencia práctica de bajo acoplamiento.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3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Puertos del núcleo y sus adaptadores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3608"/>
        <w:gridCol w:w="3377"/>
      </w:tblGrid>
      <w:tr>
        <w:trPr>
          <w:cantSplit/>
          <w:tblHeader/>
        </w:trPr>
        <w:tc>
          <w:tcPr>
            <w:tcW w:type="dxa" w:w="23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Puerto</w:t>
            </w:r>
          </w:p>
        </w:tc>
        <w:tc>
          <w:tcPr>
            <w:tcW w:type="dxa" w:w="3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Adaptador en el servidor</w:t>
            </w:r>
          </w:p>
        </w:tc>
        <w:tc>
          <w:tcPr>
            <w:tcW w:type="dxa" w:w="3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Adaptador en la demostración y en pruebas</w:t>
            </w:r>
          </w:p>
        </w:tc>
      </w:tr>
      <w:tr>
        <w:trPr>
          <w:cantSplit/>
          <w:tblHeader w:val="off"/>
        </w:trPr>
        <w:tc>
          <w:tcPr>
            <w:tcW w:type="dxa" w:w="23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Repositorios y transacción</w:t>
            </w:r>
          </w:p>
        </w:tc>
        <w:tc>
          <w:tcPr>
            <w:tcW w:type="dxa" w:w="3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PostgreSQL: db-pg.js (BEGIN, COMMIT, ROLLBACK)</w:t>
            </w:r>
          </w:p>
        </w:tc>
        <w:tc>
          <w:tcPr>
            <w:tcW w:type="dxa" w:w="3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Memoria: repos.js (con reversión ante error)</w:t>
            </w:r>
          </w:p>
        </w:tc>
      </w:tr>
      <w:tr>
        <w:trPr>
          <w:cantSplit/>
          <w:tblHeader w:val="off"/>
        </w:trPr>
        <w:tc>
          <w:tcPr>
            <w:tcW w:type="dxa" w:w="23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Cliente del WMS</w:t>
            </w:r>
          </w:p>
        </w:tc>
        <w:tc>
          <w:tcPr>
            <w:tcW w:type="dxa" w:w="3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HTTP: clientes-http.js</w:t>
            </w:r>
          </w:p>
        </w:tc>
        <w:tc>
          <w:tcPr>
            <w:tcW w:type="dxa" w:w="3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Simulador en el mismo proceso</w:t>
            </w:r>
          </w:p>
        </w:tc>
      </w:tr>
      <w:tr>
        <w:trPr>
          <w:cantSplit/>
          <w:tblHeader w:val="off"/>
        </w:trPr>
        <w:tc>
          <w:tcPr>
            <w:tcW w:type="dxa" w:w="23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Cliente del ERP</w:t>
            </w:r>
          </w:p>
        </w:tc>
        <w:tc>
          <w:tcPr>
            <w:tcW w:type="dxa" w:w="3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HTTP: clientes-http.js</w:t>
            </w:r>
          </w:p>
        </w:tc>
        <w:tc>
          <w:tcPr>
            <w:tcW w:type="dxa" w:w="3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Simulador en el mismo proceso</w:t>
            </w:r>
          </w:p>
        </w:tc>
      </w:tr>
      <w:tr>
        <w:trPr>
          <w:cantSplit/>
          <w:tblHeader w:val="off"/>
        </w:trPr>
        <w:tc>
          <w:tcPr>
            <w:tcW w:type="dxa" w:w="23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Cola de operaciones</w:t>
            </w:r>
          </w:p>
        </w:tc>
        <w:tc>
          <w:tcPr>
            <w:tcW w:type="dxa" w:w="3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RabbitMQ: cola-rabbitmq.js</w:t>
            </w:r>
          </w:p>
        </w:tc>
        <w:tc>
          <w:tcPr>
            <w:tcW w:type="dxa" w:w="3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Sin cola; barrido de la bandeja</w:t>
            </w:r>
          </w:p>
        </w:tc>
      </w:tr>
      <w:tr>
        <w:trPr>
          <w:cantSplit/>
          <w:tblHeader w:val="off"/>
        </w:trPr>
        <w:tc>
          <w:tcPr>
            <w:tcW w:type="dxa" w:w="23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Reloj e identificadores</w:t>
            </w:r>
          </w:p>
        </w:tc>
        <w:tc>
          <w:tcPr>
            <w:tcW w:type="dxa" w:w="36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Fecha del sistema y UUID v4</w:t>
            </w:r>
          </w:p>
        </w:tc>
        <w:tc>
          <w:tcPr>
            <w:tcW w:type="dxa" w:w="3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Reloj controlable en las pruebas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alta cohesión se ve en la organización del núcleo: cada servicio agrupa una sola responsabilidad del proceso (Catálogo, Mantenimiento, Inventario, Compras, Integración, Alertas y Auditoría); todos los cálculos de inventario están juntos en un módulo de funciones puras (core/dominio/calculos.js); todos los estados y transiciones están en un único módulo (core/dominio/estados.js), y la autorización por rol se aplica dentro de cada servicio, de modo que una llamada directa a la API recibe el mismo rechazo que la pantalla.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2.2 Funcionamiento de Express en la solución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Express recibe la solicitud HTTP, aplica el middleware y la entrega a la ruta del componente correspondiente. La ruta solo traduce HTTP a una llamada al servicio; no contiene reglas. Los errores llegan a un manejador central que responde siempre con el mismo formato. La tabla 4 sigue el recorrido de una reserva.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4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Recorrido de una solicitud de reserva en Express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40"/>
        <w:gridCol w:w="382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Paso</w:t>
            </w:r>
          </w:p>
        </w:tc>
        <w:tc>
          <w:tcPr>
            <w:tcW w:type="dxa" w:w="4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Qué ocurre</w:t>
            </w:r>
          </w:p>
        </w:tc>
        <w:tc>
          <w:tcPr>
            <w:tcW w:type="dxa" w:w="3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Archivo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 /api/ordenes/OM-2026-0153/reservas llega con el token JWT</w:t>
            </w:r>
          </w:p>
        </w:tc>
        <w:tc>
          <w:tcPr>
            <w:tcW w:type="dxa" w:w="3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api/src/app.js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Middleware: identificador de solicitud, lectura de JSON y verificación del token</w:t>
            </w:r>
          </w:p>
        </w:tc>
        <w:tc>
          <w:tcPr>
            <w:tcW w:type="dxa" w:w="3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api/src/middleware/seguridad.js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La ruta del componente Mantenimiento llama al servicio</w:t>
            </w:r>
          </w:p>
        </w:tc>
        <w:tc>
          <w:tcPr>
            <w:tcW w:type="dxa" w:w="3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api/src/rutas/index.js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 servicio autoriza el rol y valida el estado de la orden</w:t>
            </w:r>
          </w:p>
        </w:tc>
        <w:tc>
          <w:tcPr>
            <w:tcW w:type="dxa" w:w="3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core/servicios/ordenes.js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En una transacción se crean la reserva Solicitada y su operación en la bandeja de salida</w:t>
            </w:r>
          </w:p>
        </w:tc>
        <w:tc>
          <w:tcPr>
            <w:tcW w:type="dxa" w:w="3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core/servicios/soporte.js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Tras el COMMIT se publica el id de la operación en RabbitMQ</w:t>
            </w:r>
          </w:p>
        </w:tc>
        <w:tc>
          <w:tcPr>
            <w:tcW w:type="dxa" w:w="3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api/src/adaptadores/cola-rabbitmq.js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La API responde 202 Accepted: aceptada, todavía no confirmada</w:t>
            </w:r>
          </w:p>
        </w:tc>
        <w:tc>
          <w:tcPr>
            <w:tcW w:type="dxa" w:w="3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api/src/rutas/index.js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 trabajador consume el mensaje y envía POST /wms/reservas con Idempotency-Key</w:t>
            </w:r>
          </w:p>
        </w:tc>
        <w:tc>
          <w:tcPr>
            <w:tcW w:type="dxa" w:w="3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worker/index.js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 hay error de negocio, el manejador responde { error: { codigo, mensaje } }</w:t>
            </w:r>
          </w:p>
        </w:tc>
        <w:tc>
          <w:tcPr>
            <w:tcW w:type="dxa" w:w="3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api/src/middleware/errores.js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3. Módulos desarrollados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Los nueve módulos de la propuesta funcional se implementan con los componentes de la API definidos en el diagrama C4 de nivel 3 (figura 2). La tabla 5 relaciona cada módulo con su componente, su código y sus requisitos.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Figura 2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Componentes de la API de negocio (modelo C4, nivel 3)</w:t>
      </w:r>
    </w:p>
    <w:p>
      <w:pPr>
        <w:keepNext/>
        <w:jc w:val="center"/>
      </w:pPr>
      <w:r>
        <w:drawing>
          <wp:inline distT="0" distB="0" distL="0" distR="0">
            <wp:extent cx="5943600" cy="46863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Elaboración propia.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5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Módulos, componentes y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5"/>
        <w:gridCol w:w="1952"/>
        <w:gridCol w:w="3780"/>
        <w:gridCol w:w="1703"/>
      </w:tblGrid>
      <w:tr>
        <w:trPr>
          <w:cantSplit/>
          <w:tblHeader/>
        </w:trPr>
        <w:tc>
          <w:tcPr>
            <w:tcW w:type="dxa" w:w="19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Módulo funcional</w:t>
            </w:r>
          </w:p>
        </w:tc>
        <w:tc>
          <w:tcPr>
            <w:tcW w:type="dxa" w:w="19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Código principal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Requisitos</w:t>
            </w:r>
          </w:p>
        </w:tc>
      </w:tr>
      <w:tr>
        <w:trPr>
          <w:cantSplit/>
          <w:tblHeader w:val="off"/>
        </w:trPr>
        <w:tc>
          <w:tcPr>
            <w:tcW w:type="dxa" w:w="19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Datos maestros</w:t>
            </w:r>
          </w:p>
        </w:tc>
        <w:tc>
          <w:tcPr>
            <w:tcW w:type="dxa" w:w="19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Catálogo</w:t>
            </w:r>
          </w:p>
        </w:tc>
        <w:tc>
          <w:tcPr>
            <w:tcW w:type="dxa" w:w="3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core/servicios/maestros.js, core/dominio/maestros.js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RF-01 a RF-03</w:t>
            </w:r>
          </w:p>
        </w:tc>
      </w:tr>
      <w:tr>
        <w:trPr>
          <w:cantSplit/>
          <w:tblHeader w:val="off"/>
        </w:trPr>
        <w:tc>
          <w:tcPr>
            <w:tcW w:type="dxa" w:w="19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Usuarios, roles y permisos</w:t>
            </w:r>
          </w:p>
        </w:tc>
        <w:tc>
          <w:tcPr>
            <w:tcW w:type="dxa" w:w="19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Rutas REST y seguridad</w:t>
            </w:r>
          </w:p>
        </w:tc>
        <w:tc>
          <w:tcPr>
            <w:tcW w:type="dxa" w:w="3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core/dominio/permisos.js, api/src/seguridad.js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RF-04</w:t>
            </w:r>
          </w:p>
        </w:tc>
      </w:tr>
      <w:tr>
        <w:trPr>
          <w:cantSplit/>
          <w:tblHeader w:val="off"/>
        </w:trPr>
        <w:tc>
          <w:tcPr>
            <w:tcW w:type="dxa" w:w="19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19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3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core/servicios/ordenes.js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RF-05, RF-06, RF-11, RF-12</w:t>
            </w:r>
          </w:p>
        </w:tc>
      </w:tr>
      <w:tr>
        <w:trPr>
          <w:cantSplit/>
          <w:tblHeader w:val="off"/>
        </w:trPr>
        <w:tc>
          <w:tcPr>
            <w:tcW w:type="dxa" w:w="19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Inventario y reservas</w:t>
            </w:r>
          </w:p>
        </w:tc>
        <w:tc>
          <w:tcPr>
            <w:tcW w:type="dxa" w:w="19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Inventario y reservas</w:t>
            </w:r>
          </w:p>
        </w:tc>
        <w:tc>
          <w:tcPr>
            <w:tcW w:type="dxa" w:w="3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core/servicios/inventario.js, ordenes.js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RF-07 a RF-10</w:t>
            </w:r>
          </w:p>
        </w:tc>
      </w:tr>
      <w:tr>
        <w:trPr>
          <w:cantSplit/>
          <w:tblHeader w:val="off"/>
        </w:trPr>
        <w:tc>
          <w:tcPr>
            <w:tcW w:type="dxa" w:w="19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Compras y reposición</w:t>
            </w:r>
          </w:p>
        </w:tc>
        <w:tc>
          <w:tcPr>
            <w:tcW w:type="dxa" w:w="19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Compras (servicio ROP)</w:t>
            </w:r>
          </w:p>
        </w:tc>
        <w:tc>
          <w:tcPr>
            <w:tcW w:type="dxa" w:w="3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core/servicios/compras.js, webhooks.js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RF-13 a RF-17</w:t>
            </w:r>
          </w:p>
        </w:tc>
      </w:tr>
      <w:tr>
        <w:trPr>
          <w:cantSplit/>
          <w:tblHeader w:val="off"/>
        </w:trPr>
        <w:tc>
          <w:tcPr>
            <w:tcW w:type="dxa" w:w="19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Alertas</w:t>
            </w:r>
          </w:p>
        </w:tc>
        <w:tc>
          <w:tcPr>
            <w:tcW w:type="dxa" w:w="19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Alertas</w:t>
            </w:r>
          </w:p>
        </w:tc>
        <w:tc>
          <w:tcPr>
            <w:tcW w:type="dxa" w:w="3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core/servicios/soporte.js, consultas.js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RF-18</w:t>
            </w:r>
          </w:p>
        </w:tc>
      </w:tr>
      <w:tr>
        <w:trPr>
          <w:cantSplit/>
          <w:tblHeader w:val="off"/>
        </w:trPr>
        <w:tc>
          <w:tcPr>
            <w:tcW w:type="dxa" w:w="19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Trazabilidad y auditoría</w:t>
            </w:r>
          </w:p>
        </w:tc>
        <w:tc>
          <w:tcPr>
            <w:tcW w:type="dxa" w:w="19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Auditoría</w:t>
            </w:r>
          </w:p>
        </w:tc>
        <w:tc>
          <w:tcPr>
            <w:tcW w:type="dxa" w:w="3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core/servicios/consultas.js, tabla bitacora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RF-19, RF-20</w:t>
            </w:r>
          </w:p>
        </w:tc>
      </w:tr>
      <w:tr>
        <w:trPr>
          <w:cantSplit/>
          <w:tblHeader w:val="off"/>
        </w:trPr>
        <w:tc>
          <w:tcPr>
            <w:tcW w:type="dxa" w:w="19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Integración de sistemas</w:t>
            </w:r>
          </w:p>
        </w:tc>
        <w:tc>
          <w:tcPr>
            <w:tcW w:type="dxa" w:w="19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Bandeja de salida y trabajador</w:t>
            </w:r>
          </w:p>
        </w:tc>
        <w:tc>
          <w:tcPr>
            <w:tcW w:type="dxa" w:w="3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core/servicios/integracion.js, worker/index.js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RF-21</w:t>
            </w:r>
          </w:p>
        </w:tc>
      </w:tr>
      <w:tr>
        <w:trPr>
          <w:cantSplit/>
          <w:tblHeader w:val="off"/>
        </w:trPr>
        <w:tc>
          <w:tcPr>
            <w:tcW w:type="dxa" w:w="19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Sincronización</w:t>
            </w:r>
          </w:p>
        </w:tc>
        <w:tc>
          <w:tcPr>
            <w:tcW w:type="dxa" w:w="19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Trabajador de integración</w:t>
            </w:r>
          </w:p>
        </w:tc>
        <w:tc>
          <w:tcPr>
            <w:tcW w:type="dxa" w:w="3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integracion.js: respaldo y conciliación</w:t>
            </w:r>
          </w:p>
        </w:tc>
        <w:tc>
          <w:tcPr>
            <w:tcW w:type="dxa" w:w="1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RF-22, RF-23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El repositorio suma unas 7 000 líneas de código propio entre núcleo, API, trabajador, simuladores, interfaz, esquema de base de datos y pruebas.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4. Cobertura de requisitos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4.1 Requisitos funcionales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tabla 6 indica cómo se implementó cada requisito y con qué evidencia se comprueba. Las pruebas se describen en la sección 12; los escenarios de demostración, en la sección 13.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6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Requisitos funcionales implementados y su evidencia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4242"/>
        <w:gridCol w:w="4238"/>
      </w:tblGrid>
      <w:tr>
        <w:trPr>
          <w:cantSplit/>
          <w:tblHeader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Código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Evidencia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Alta de materiales con código asignado por el maestro, descripción normalizada única y parámetros de reposición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Prueba MDM; escenario de códigos duplicados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Equipos con código único y tabla de compatibilidad material–equipo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Prueba de material incompatible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Proveedores con NIT único, plazo y porcentaje de cumplimiento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Puntaje de cotizaciones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Siete roles y 66 permisos en tablas; JWT; contraseñas con scrypt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Pruebas 401 y 403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RF-05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Orden con equipo, tipo, prioridad, diagnóstico, fecha y materiales compatibles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Flujo principal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RF-06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Validación por el supervisor con fecha y responsable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Flujo principal; prueba de permisos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RF-07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Consulta al WMS de físico, reservado, bloqueado y disponible, más en tránsito del ERP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Pantalla de inventario; prueba HTTP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RF-08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Reserva solo registrada cuando el WMS la confirma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Escenarios de stock insuficiente y última unidad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RF-09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Entrega en ventanilla con receptor; el WMS elige lotes por FEFO o PEPS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Flujo principal; escenario FEFO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RF-10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Liberación de reservas confirmada por el WMS. Devoluciones y transferencias quedan definidas en el contrato para la siguiente iteración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Prueba de liberación (parcial)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RF-11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Cambio de pieza exige salida confirmada y registra el destino de la retirada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Flujo principal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RF-12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Cierre bloqueado con la lista de operaciones sin confirmar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Escenario de WMS sin respuesta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RF-13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Evaluación de la posición contra el ROP sin duplicar una compra en curso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Escenario de compra en curso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RF-14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Solicitud por falta de stock ligada a la orden de origen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Escenario de stock insuficiente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RF-15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Cotizaciones comparadas por precio, plazo, garantía y cumplimiento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Prueba HTTP de compra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RF-16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La solicitud aprobada viaja al ERP; la OC se registra solo cuando el ERP la confirma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Prueba HTTP de compra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RF-17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Recepción completa o parcial por webhook; solo lo aceptado incrementa el stock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Escenario de recepción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RF-18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Alertas con tipo, prioridad, destinatario y estado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Pantalla de auditoría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RF-19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Bitácora de solo inserción protegida por disparador en PostgreSQL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Prueba de UPDATE y DELETE rechazados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RF-20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Trazabilidad de la orden: reserva, compra, recepción, salida, instalación y bitácora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GET /api/ordenes/:numero/trazabilidad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RF-21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Bandeja de salida con UUID, Idempotency-Key, consulta por id y reintentos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Escenarios de confirmación perdida e idempotencia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RF-22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Incidencias con código, causa, responsable y estado; filtro por código y estado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Escenario de WMS sin respuesta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RF-23</w:t>
            </w:r>
          </w:p>
        </w:tc>
        <w:tc>
          <w:tcPr>
            <w:tcW w:type="dxa" w:w="42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Conciliación de existencias WMS contra ERP con registro de diferencias. La sincronización automática del catálogo queda para producción</w:t>
            </w:r>
          </w:p>
        </w:tc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Escenario de conciliación (parcial)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4.2 Requisitos no funcionales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7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Requisitos no funcionales y su comprobación en el prototipo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1620"/>
        <w:gridCol w:w="6860"/>
      </w:tblGrid>
      <w:tr>
        <w:trPr>
          <w:cantSplit/>
          <w:tblHeader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Código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Comprobación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RNF-01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Tiempo medio de respuesta de la API en Postman: 20 ms (máximo 98 ms). Una operación normal se confirma en el siguiente mensaje de la cola, en menos de 1 s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RNF-02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Ruta /salud y reinicio de contenedores con Docker Compose; la medición mensual corresponde a producción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RNF-03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Recuperación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Cola en RabbitMQ, reintentos 2ⁿ, barrido de la bandeja cada 5 s y sincronización de respaldo cada 15 min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RNF-04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Integridad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 mismo id enviado tres veces produce una sola reserva en el WMS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RNF-05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Consistencia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Transacciones ACID; FOR UPDATE SKIP LOCKED; bloqueo por material; prueba de dos reservas simultáneas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RNF-06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JWT con expiración, contraseñas con scrypt, autorización por rol en el servicio, webhooks firmados con HMAC-SHA256; HTTPS en el despliegue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RNF-07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Auditabilidad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Bitácora con usuario, rol, fecha, acción, valor anterior, valor nuevo y motivo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RNF-08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Usabilidad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Interfaz adaptable comprobada a 400 px de ancho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RNF-09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Respaldo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Procedimiento pg_dump diario en producción; fuera del prototipo</w:t>
            </w:r>
          </w:p>
        </w:tc>
      </w:tr>
      <w:tr>
        <w:trPr>
          <w:cantSplit/>
          <w:tblHeader w:val="off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RNF-10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Exactitud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Conciliación WMS contra ERP; el conteo semanal es un procedimiento operativo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5. Interfaces y pantallas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aplicación presenta las funciones por rol. Cada botón indica el rol que puede ejecutar la acción y el servicio vuelve a verificarlo. Para la demostración, la opción "Usar el rol de cada acción" ejecuta cada paso con el usuario que corresponde; al desactivarla, el usuario elegido en "Actuar como" recibe el rechazo SIN_PERMISO si no tiene el permiso.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8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Interfaces por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1"/>
        <w:gridCol w:w="6599"/>
      </w:tblGrid>
      <w:tr>
        <w:trPr>
          <w:cantSplit/>
          <w:tblHeader/>
        </w:trPr>
        <w:tc>
          <w:tcPr>
            <w:tcW w:type="dxa" w:w="2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Rol</w:t>
            </w:r>
          </w:p>
        </w:tc>
        <w:tc>
          <w:tcPr>
            <w:tcW w:type="dxa" w:w="6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Funciones disponibles</w:t>
            </w:r>
          </w:p>
        </w:tc>
      </w:tr>
      <w:tr>
        <w:trPr>
          <w:cantSplit/>
          <w:tblHeader w:val="off"/>
        </w:trPr>
        <w:tc>
          <w:tcPr>
            <w:tcW w:type="dxa" w:w="2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Técnico de mantenimiento</w:t>
            </w:r>
          </w:p>
        </w:tc>
        <w:tc>
          <w:tcPr>
            <w:tcW w:type="dxa" w:w="6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Crear órdenes con materiales compatibles, registrar el cambio de pieza y completar la intervención</w:t>
            </w:r>
          </w:p>
        </w:tc>
      </w:tr>
      <w:tr>
        <w:trPr>
          <w:cantSplit/>
          <w:tblHeader w:val="off"/>
        </w:trPr>
        <w:tc>
          <w:tcPr>
            <w:tcW w:type="dxa" w:w="2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Supervisor de mantenimiento</w:t>
            </w:r>
          </w:p>
        </w:tc>
        <w:tc>
          <w:tcPr>
            <w:tcW w:type="dxa" w:w="6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Validar y priorizar órdenes, revisar operaciones pendientes y cerrar la orden</w:t>
            </w:r>
          </w:p>
        </w:tc>
      </w:tr>
      <w:tr>
        <w:trPr>
          <w:cantSplit/>
          <w:tblHeader w:val="off"/>
        </w:trPr>
        <w:tc>
          <w:tcPr>
            <w:tcW w:type="dxa" w:w="2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Personal de almacén</w:t>
            </w:r>
          </w:p>
        </w:tc>
        <w:tc>
          <w:tcPr>
            <w:tcW w:type="dxa" w:w="6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Consultar disponibilidad, solicitar reservas, registrar entregas y liberar reservas</w:t>
            </w:r>
          </w:p>
        </w:tc>
      </w:tr>
      <w:tr>
        <w:trPr>
          <w:cantSplit/>
          <w:tblHeader w:val="off"/>
        </w:trPr>
        <w:tc>
          <w:tcPr>
            <w:tcW w:type="dxa" w:w="2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Comprador</w:t>
            </w:r>
          </w:p>
        </w:tc>
        <w:tc>
          <w:tcPr>
            <w:tcW w:type="dxa" w:w="6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Evaluar reposición, registrar y comparar cotizaciones, aprobar el envío al ERP</w:t>
            </w:r>
          </w:p>
        </w:tc>
      </w:tr>
      <w:tr>
        <w:trPr>
          <w:cantSplit/>
          <w:tblHeader w:val="off"/>
        </w:trPr>
        <w:tc>
          <w:tcPr>
            <w:tcW w:type="dxa" w:w="2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Control interno</w:t>
            </w:r>
          </w:p>
        </w:tc>
        <w:tc>
          <w:tcPr>
            <w:tcW w:type="dxa" w:w="6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Consultar bitácora, trazabilidad, incidencias y conciliaciones sin modificar registros</w:t>
            </w:r>
          </w:p>
        </w:tc>
      </w:tr>
      <w:tr>
        <w:trPr>
          <w:cantSplit/>
          <w:tblHeader w:val="off"/>
        </w:trPr>
        <w:tc>
          <w:tcPr>
            <w:tcW w:type="dxa" w:w="2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Administrar el catálogo, reprocesar operaciones y ejecutar la conciliación</w:t>
            </w:r>
          </w:p>
        </w:tc>
      </w:tr>
      <w:tr>
        <w:trPr>
          <w:cantSplit/>
          <w:tblHeader w:val="off"/>
        </w:trPr>
        <w:tc>
          <w:tcPr>
            <w:tcW w:type="dxa" w:w="2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Gerencia</w:t>
            </w:r>
          </w:p>
        </w:tc>
        <w:tc>
          <w:tcPr>
            <w:tcW w:type="dxa" w:w="6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Consultar órdenes, compras e incidencias sin modificar información operativa</w:t>
            </w:r>
          </w:p>
        </w:tc>
      </w:tr>
    </w:tbl>
    <w:p>
      <w:pPr>
        <w:spacing w:after="120"/>
      </w:pP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9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Pantallas desarrolladas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7"/>
        <w:gridCol w:w="7723"/>
      </w:tblGrid>
      <w:tr>
        <w:trPr>
          <w:cantSplit/>
          <w:tblHeader/>
        </w:trPr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Pantalla</w:t>
            </w:r>
          </w:p>
        </w:tc>
        <w:tc>
          <w:tcPr>
            <w:tcW w:type="dxa" w:w="7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Información y controles</w:t>
            </w:r>
          </w:p>
        </w:tc>
      </w:tr>
      <w:tr>
        <w:trPr>
          <w:cantSplit/>
          <w:tblHeader w:val="off"/>
        </w:trPr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Panel</w:t>
            </w:r>
          </w:p>
        </w:tc>
        <w:tc>
          <w:tcPr>
            <w:tcW w:type="dxa" w:w="7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Estado del proceso y existencias de cada material frente a su ROP, con la fuente de cada dato</w:t>
            </w:r>
          </w:p>
        </w:tc>
      </w:tr>
      <w:tr>
        <w:trPr>
          <w:cantSplit/>
          <w:tblHeader w:val="off"/>
        </w:trPr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Órdenes</w:t>
            </w:r>
          </w:p>
        </w:tc>
        <w:tc>
          <w:tcPr>
            <w:tcW w:type="dxa" w:w="7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Lista, nueva orden con materiales compatibles, recorrido de estados, acciones por rol, reservas, salidas, cambio de pieza y operaciones de integración</w:t>
            </w:r>
          </w:p>
        </w:tc>
      </w:tr>
      <w:tr>
        <w:trPr>
          <w:cantSplit/>
          <w:tblHeader w:val="off"/>
        </w:trPr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Inventario</w:t>
            </w:r>
          </w:p>
        </w:tc>
        <w:tc>
          <w:tcPr>
            <w:tcW w:type="dxa" w:w="7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Disponibilidad del WMS, posición, fórmulas con los valores del material, lotes en orden de salida y kardex valorizado del ERP</w:t>
            </w:r>
          </w:p>
        </w:tc>
      </w:tr>
      <w:tr>
        <w:trPr>
          <w:cantSplit/>
          <w:tblHeader w:val="off"/>
        </w:trPr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Compras</w:t>
            </w:r>
          </w:p>
        </w:tc>
        <w:tc>
          <w:tcPr>
            <w:tcW w:type="dxa" w:w="7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Evaluación contra el ROP, solicitudes, cotizaciones con puntaje, aprobación, OC del ERP y recepción</w:t>
            </w:r>
          </w:p>
        </w:tc>
      </w:tr>
      <w:tr>
        <w:trPr>
          <w:cantSplit/>
          <w:tblHeader w:val="off"/>
        </w:trPr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7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Simulación de fallas, bandeja de salida con intentos y causa, contadores del WMS, incidencias y conciliación</w:t>
            </w:r>
          </w:p>
        </w:tc>
      </w:tr>
      <w:tr>
        <w:trPr>
          <w:cantSplit/>
          <w:tblHeader w:val="off"/>
        </w:trPr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Datos maestros</w:t>
            </w:r>
          </w:p>
        </w:tc>
        <w:tc>
          <w:tcPr>
            <w:tcW w:type="dxa" w:w="7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Alta de material con código propuesto y detección de duplicados, catálogo, compatibilidad y proveedores</w:t>
            </w:r>
          </w:p>
        </w:tc>
      </w:tr>
      <w:tr>
        <w:trPr>
          <w:cantSplit/>
          <w:tblHeader w:val="off"/>
        </w:trPr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Auditoría</w:t>
            </w:r>
          </w:p>
        </w:tc>
        <w:tc>
          <w:tcPr>
            <w:tcW w:type="dxa" w:w="7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Alertas con destinatario y bitácora de solo lectura</w:t>
            </w:r>
          </w:p>
        </w:tc>
      </w:tr>
      <w:tr>
        <w:trPr>
          <w:cantSplit/>
          <w:tblHeader w:val="off"/>
        </w:trPr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Demostración</w:t>
            </w:r>
          </w:p>
        </w:tc>
        <w:tc>
          <w:tcPr>
            <w:tcW w:type="dxa" w:w="7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Escenarios que responden las preguntas de la defensa ejecutando el sistema</w:t>
            </w:r>
          </w:p>
        </w:tc>
      </w:tr>
      <w:tr>
        <w:trPr>
          <w:cantSplit/>
          <w:tblHeader w:val="off"/>
        </w:trPr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7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Diagrama de la solución, dueño de cada dato, recorrido en Express y rutas de la API</w:t>
            </w:r>
          </w:p>
        </w:tc>
      </w:tr>
    </w:tbl>
    <w:p>
      <w:pPr>
        <w:spacing w:after="120"/>
      </w:pP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Figura 3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Pantalla Panel: existencias de cada material frente a su punto de reorden</w:t>
      </w:r>
    </w:p>
    <w:p>
      <w:pPr>
        <w:keepNext/>
        <w:jc w:val="center"/>
      </w:pPr>
      <w:r>
        <w:drawing>
          <wp:inline distT="0" distB="0" distL="0" distR="0">
            <wp:extent cx="5943600" cy="37147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Elaboración propia. Captura del sistema en funcionamiento. Las etiquetas WMS, ERP y Solución indican el dueño de cada dato.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Figura 4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Orden OM-2026-0153 cerrada: reserva, salida, costo al CPP y cambio de pieza</w:t>
      </w:r>
    </w:p>
    <w:p>
      <w:pPr>
        <w:keepNext/>
        <w:jc w:val="center"/>
      </w:pPr>
      <w:r>
        <w:drawing>
          <wp:inline distT="0" distB="0" distL="0" distR="0">
            <wp:extent cx="5943600" cy="68484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Elaboración propia. Captura del sistema en funcionamiento.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Figura 5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Pantalla Inventario: disponibilidad, fuentes y fórmulas de reposición de FIL-ACE-0021</w:t>
      </w:r>
    </w:p>
    <w:p>
      <w:pPr>
        <w:keepNext/>
        <w:jc w:val="center"/>
      </w:pPr>
      <w:r>
        <w:drawing>
          <wp:inline distT="0" distB="0" distL="0" distR="0">
            <wp:extent cx="5943600" cy="63436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Elaboración propia. Captura del sistema en funcionamiento.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6. Flujo funcional desarrollado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Cada transición depende de un evento confirmado. La tabla 10 muestra la secuencia principal con la ruta de la API que la ejecuta.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10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Secuencia principal y rutas de la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926"/>
        <w:gridCol w:w="4963"/>
      </w:tblGrid>
      <w:tr>
        <w:trPr>
          <w:cantSplit/>
          <w:tblHeader/>
        </w:trPr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Etapa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Ejecución y resultado</w:t>
            </w:r>
          </w:p>
        </w:tc>
        <w:tc>
          <w:tcPr>
            <w:tcW w:type="dxa" w:w="4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Ruta</w:t>
            </w:r>
          </w:p>
        </w:tc>
      </w:tr>
      <w:tr>
        <w:trPr>
          <w:cantSplit/>
          <w:tblHeader w:val="off"/>
        </w:trPr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 Necesidad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 técnico crea la orden con materiales compatibles; estado Registrada</w:t>
            </w:r>
          </w:p>
        </w:tc>
        <w:tc>
          <w:tcPr>
            <w:tcW w:type="dxa" w:w="4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 /api/ordenes</w:t>
            </w:r>
          </w:p>
        </w:tc>
      </w:tr>
      <w:tr>
        <w:trPr>
          <w:cantSplit/>
          <w:tblHeader w:val="off"/>
        </w:trPr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 Validación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 supervisor confirma prioridad y responsable; estado Validada</w:t>
            </w:r>
          </w:p>
        </w:tc>
        <w:tc>
          <w:tcPr>
            <w:tcW w:type="dxa" w:w="4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 /api/ordenes/:numero/validacion</w:t>
            </w:r>
          </w:p>
        </w:tc>
      </w:tr>
      <w:tr>
        <w:trPr>
          <w:cantSplit/>
          <w:tblHeader w:val="off"/>
        </w:trPr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 Consulta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 conector obtiene del WMS físico, reservado, bloqueado y disponible</w:t>
            </w:r>
          </w:p>
        </w:tc>
        <w:tc>
          <w:tcPr>
            <w:tcW w:type="dxa" w:w="4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GET /api/inventario/disponibilidad/:material</w:t>
            </w:r>
          </w:p>
        </w:tc>
      </w:tr>
      <w:tr>
        <w:trPr>
          <w:cantSplit/>
          <w:tblHeader w:val="off"/>
        </w:trPr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 Reserva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La reserva queda en la bandeja; el WMS la confirma; estado Materiales reservados</w:t>
            </w:r>
          </w:p>
        </w:tc>
        <w:tc>
          <w:tcPr>
            <w:tcW w:type="dxa" w:w="4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 /api/ordenes/:numero/reservas</w:t>
            </w:r>
          </w:p>
        </w:tc>
      </w:tr>
      <w:tr>
        <w:trPr>
          <w:cantSplit/>
          <w:tblHeader w:val="off"/>
        </w:trPr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 Compra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Sin stock, la orden pasa a En espera de repuestos y se crea la solicitud ligada</w:t>
            </w:r>
          </w:p>
        </w:tc>
        <w:tc>
          <w:tcPr>
            <w:tcW w:type="dxa" w:w="4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Automático; POST /api/compras/solicitudes/:numero/aprobacion</w:t>
            </w:r>
          </w:p>
        </w:tc>
      </w:tr>
      <w:tr>
        <w:trPr>
          <w:cantSplit/>
          <w:tblHeader w:val="off"/>
        </w:trPr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 Recepción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 WMS acepta el material y avisa por webhook; se reintenta la reserva</w:t>
            </w:r>
          </w:p>
        </w:tc>
        <w:tc>
          <w:tcPr>
            <w:tcW w:type="dxa" w:w="4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 /api/integracion/webhooks/wms</w:t>
            </w:r>
          </w:p>
        </w:tc>
      </w:tr>
      <w:tr>
        <w:trPr>
          <w:cantSplit/>
          <w:tblHeader w:val="off"/>
        </w:trPr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7 Entrega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La salida se confirma en el WMS; se valoriza al CPP y se evalúa el ROP</w:t>
            </w:r>
          </w:p>
        </w:tc>
        <w:tc>
          <w:tcPr>
            <w:tcW w:type="dxa" w:w="4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 /api/ordenes/:numero/entregas</w:t>
            </w:r>
          </w:p>
        </w:tc>
      </w:tr>
      <w:tr>
        <w:trPr>
          <w:cantSplit/>
          <w:tblHeader w:val="off"/>
        </w:trPr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8 Intervención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 técnico registra la pieza instalada y la retirada con su destino</w:t>
            </w:r>
          </w:p>
        </w:tc>
        <w:tc>
          <w:tcPr>
            <w:tcW w:type="dxa" w:w="4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 /api/ordenes/:numero/cambios-pieza</w:t>
            </w:r>
          </w:p>
        </w:tc>
      </w:tr>
      <w:tr>
        <w:trPr>
          <w:cantSplit/>
          <w:tblHeader w:val="off"/>
        </w:trPr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9 Cierre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 supervisor cierra si no hay operaciones pendientes</w:t>
            </w:r>
          </w:p>
        </w:tc>
        <w:tc>
          <w:tcPr>
            <w:tcW w:type="dxa" w:w="4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 /api/ordenes/:numero/cierre</w:t>
            </w:r>
          </w:p>
        </w:tc>
      </w:tr>
      <w:tr>
        <w:trPr>
          <w:cantSplit/>
          <w:tblHeader w:val="off"/>
        </w:trPr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10 Control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Bitácora, alertas e incidencias conservan la evidencia</w:t>
            </w:r>
          </w:p>
        </w:tc>
        <w:tc>
          <w:tcPr>
            <w:tcW w:type="dxa" w:w="4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GET /api/ordenes/:numero/trazabilidad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Las transiciones se aplican con las máquinas de estado de la fase de modelado (core/dominio/estados.js). Una transición no prevista, por ejemplo cerrar una orden validada, se rechaza con el código TRANSICION_INVALIDA.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7. Modelo de datos aplicado al desarrollo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El esquema db/schema.sql implementa las 23 tablas del modelo entidad-relación de la fase de modelado (figura 6). La solución guarda sus propios objetos y referencias a los objetos oficiales: no guarda saldos de stock ni órdenes de compra formales. Una operación de integración puede no tener movimiento ni solicitud asociados, o tener varios; por eso la relación se mantiene 1:0..N, como en el modelado.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Figura 6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Modelo entidad-relación implementado en PostgreSQL</w:t>
      </w:r>
    </w:p>
    <w:p>
      <w:pPr>
        <w:keepNext/>
        <w:jc w:val="center"/>
      </w:pPr>
      <w:r>
        <w:drawing>
          <wp:inline distT="0" distB="0" distL="0" distR="0">
            <wp:extent cx="5943600" cy="44005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Elaboración propia. Corresponde a la figura 6 de la fase de modelado; el esquema está en db/schema.sql.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Las reglas de integridad del diseño no dependen solo de la aplicación: la base de datos también las impone, como muestra la tabla 11.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11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Reglas de integridad y su control en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  <w:tblHeader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Regla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Control en la base de datos</w:t>
            </w:r>
          </w:p>
        </w:tc>
      </w:tr>
      <w:tr>
        <w:trPr>
          <w:cantSplit/>
          <w:tblHeader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Un material, un código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Clave primaria con formato FAM-SUB-NNNN y descripción normalizada UNIQUE</w:t>
            </w:r>
          </w:p>
        </w:tc>
      </w:tr>
      <w:tr>
        <w:trPr>
          <w:cantSplit/>
          <w:tblHeader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Una sola compra en curso por material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Índice único parcial ux_solicitud_abierta</w:t>
            </w:r>
          </w:p>
        </w:tc>
      </w:tr>
      <w:tr>
        <w:trPr>
          <w:cantSplit/>
          <w:tblHeader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Una reserva activa por detalle de orden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Índice único parcial ux_reserva_activa</w:t>
            </w:r>
          </w:p>
        </w:tc>
      </w:tr>
      <w:tr>
        <w:trPr>
          <w:cantSplit/>
          <w:tblHeader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Lo reservado y entregado no supera lo requerido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CHECK sobre detalle_material</w:t>
            </w:r>
          </w:p>
        </w:tc>
      </w:tr>
      <w:tr>
        <w:trPr>
          <w:cantSplit/>
          <w:tblHeader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Lo aceptado no supera lo recibido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CHECK sobre recepcion</w:t>
            </w:r>
          </w:p>
        </w:tc>
      </w:tr>
      <w:tr>
        <w:trPr>
          <w:cantSplit/>
          <w:tblHeader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Todo cambio de pieza referencia una salida confirmada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movimiento_id NOT NULL con clave foránea</w:t>
            </w:r>
          </w:p>
        </w:tc>
      </w:tr>
      <w:tr>
        <w:trPr>
          <w:cantSplit/>
          <w:tblHeader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Cada operación tiene un identificador único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Clave primaria UUID en operacion_integracion</w:t>
            </w:r>
          </w:p>
        </w:tc>
      </w:tr>
      <w:tr>
        <w:trPr>
          <w:cantSplit/>
          <w:tblHeader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La bitácora no se modifica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Disparador que rechaza UPDATE, DELETE y TRUNCATE</w:t>
            </w:r>
          </w:p>
        </w:tc>
      </w:tr>
      <w:tr>
        <w:trPr>
          <w:cantSplit/>
          <w:tblHeader w:val="off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Estados válidos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CHECK con la lista de estados de cada máquina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8. Lógica del inventario y reposición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El inventario es MRO, perpetuo, por almacén y por criticidad. La tabla 12 muestra los valores que el sistema calcula para el filtro de aceite FIL-ACE-0021, con los datos de la ficha maestra (d = 2 por día, σd = 1, L = 10 días, criticidad alta, D = 730, S = Bs 150, H = Bs 20). Son los mismos valores del ejemplo de la fase conceptual y se verifican en una prueba automatizada.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12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Valores calculados por el sistema para FIL-ACE-0021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2"/>
        <w:gridCol w:w="5118"/>
        <w:gridCol w:w="1210"/>
        <w:gridCol w:w="1020"/>
      </w:tblGrid>
      <w:tr>
        <w:trPr>
          <w:cantSplit/>
          <w:tblHeader/>
        </w:trPr>
        <w:tc>
          <w:tcPr>
            <w:tcW w:type="dxa" w:w="2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Valor</w:t>
            </w:r>
          </w:p>
        </w:tc>
        <w:tc>
          <w:tcPr>
            <w:tcW w:type="dxa" w:w="5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Cálculo</w:t>
            </w:r>
          </w:p>
        </w:tc>
        <w:tc>
          <w:tcPr>
            <w:tcW w:type="dxa" w:w="1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Resultado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Fuente</w:t>
            </w:r>
          </w:p>
        </w:tc>
      </w:tr>
      <w:tr>
        <w:trPr>
          <w:cantSplit/>
          <w:tblHeader w:val="off"/>
        </w:trPr>
        <w:tc>
          <w:tcPr>
            <w:tcW w:type="dxa" w:w="2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Stock disponible</w:t>
            </w:r>
          </w:p>
        </w:tc>
        <w:tc>
          <w:tcPr>
            <w:tcW w:type="dxa" w:w="5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Físico − reservado − bloqueado = 28 − 4 − 0</w:t>
            </w:r>
          </w:p>
        </w:tc>
        <w:tc>
          <w:tcPr>
            <w:tcW w:type="dxa" w:w="1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WMS</w:t>
            </w:r>
          </w:p>
        </w:tc>
      </w:tr>
      <w:tr>
        <w:trPr>
          <w:cantSplit/>
          <w:tblHeader w:val="off"/>
        </w:trPr>
        <w:tc>
          <w:tcPr>
            <w:tcW w:type="dxa" w:w="2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Posición de inventario</w:t>
            </w:r>
          </w:p>
        </w:tc>
        <w:tc>
          <w:tcPr>
            <w:tcW w:type="dxa" w:w="5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Disponible + en tránsito − requerimientos sin reservar = 24 + 0 − 0</w:t>
            </w:r>
          </w:p>
        </w:tc>
        <w:tc>
          <w:tcPr>
            <w:tcW w:type="dxa" w:w="1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Solución</w:t>
            </w:r>
          </w:p>
        </w:tc>
      </w:tr>
      <w:tr>
        <w:trPr>
          <w:cantSplit/>
          <w:tblHeader w:val="off"/>
        </w:trPr>
        <w:tc>
          <w:tcPr>
            <w:tcW w:type="dxa" w:w="2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Stock de seguridad</w:t>
            </w:r>
          </w:p>
        </w:tc>
        <w:tc>
          <w:tcPr>
            <w:tcW w:type="dxa" w:w="5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SS = Z × σd × √L = 1,65 × 1 × √10</w:t>
            </w:r>
          </w:p>
        </w:tc>
        <w:tc>
          <w:tcPr>
            <w:tcW w:type="dxa" w:w="1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Solución</w:t>
            </w:r>
          </w:p>
        </w:tc>
      </w:tr>
      <w:tr>
        <w:trPr>
          <w:cantSplit/>
          <w:tblHeader w:val="off"/>
        </w:trPr>
        <w:tc>
          <w:tcPr>
            <w:tcW w:type="dxa" w:w="2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Punto de reorden</w:t>
            </w:r>
          </w:p>
        </w:tc>
        <w:tc>
          <w:tcPr>
            <w:tcW w:type="dxa" w:w="5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ROP = d × L + SS = 2 × 10 + 5</w:t>
            </w:r>
          </w:p>
        </w:tc>
        <w:tc>
          <w:tcPr>
            <w:tcW w:type="dxa" w:w="1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Solución</w:t>
            </w:r>
          </w:p>
        </w:tc>
      </w:tr>
      <w:tr>
        <w:trPr>
          <w:cantSplit/>
          <w:tblHeader w:val="off"/>
        </w:trPr>
        <w:tc>
          <w:tcPr>
            <w:tcW w:type="dxa" w:w="2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Cantidad a comprar</w:t>
            </w:r>
          </w:p>
        </w:tc>
        <w:tc>
          <w:tcPr>
            <w:tcW w:type="dxa" w:w="5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EOQ = √(2 × 730 × 150 ÷ 20)</w:t>
            </w:r>
          </w:p>
        </w:tc>
        <w:tc>
          <w:tcPr>
            <w:tcW w:type="dxa" w:w="1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Solución</w:t>
            </w:r>
          </w:p>
        </w:tc>
      </w:tr>
      <w:tr>
        <w:trPr>
          <w:cantSplit/>
          <w:tblHeader w:val="off"/>
        </w:trPr>
        <w:tc>
          <w:tcPr>
            <w:tcW w:type="dxa" w:w="2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Costo de la salida</w:t>
            </w:r>
          </w:p>
        </w:tc>
        <w:tc>
          <w:tcPr>
            <w:tcW w:type="dxa" w:w="5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 unidades × CPP Bs 88,50</w:t>
            </w:r>
          </w:p>
        </w:tc>
        <w:tc>
          <w:tcPr>
            <w:tcW w:type="dxa" w:w="1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Bs 354,00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ERP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Después de cada salida confirmada el sistema compara la posición con el ROP. En la demostración, la orden OM-2026-0153 retiró 4 filtros, la posición quedó en 24, igual o menor al ROP de 25, y el sistema creó la solicitud SOL-2026-0041 por 105 unidades. Para materiales de consumo irregular se compra hasta el máximo: la empaquetadura EMP-CUL-0115 tenía posición −2 (4 disponibles y una orden de 6) y la solicitud fue de 5 − (−2) = 7 juegos.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8.1 Valoración por costo promedio ponderado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El ERP recalcula el CPP en cada ingreso aceptado; la solución lo consulta para valorizar el consumo. En la demostración, la válvula VAL-COM-0042 tenía 1 unidad a Bs 6 850 e ingresó 1 unidad de la OC 4500012871 a Bs 6 900:</w:t>
      </w:r>
    </w:p>
    <w:p>
      <w:pPr>
        <w:spacing w:after="1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CPP = (1 × 6 850 + 1 × 6 900) ÷ 2 = Bs 6 875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8.2 Selección de unidades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Primero se valida la compatibilidad con el equipo, en la orden. Después el WMS aplica FEFO a los materiales con vencimiento y PEPS a los demás. En la demostración, una orden de 3 baldes de aceite ACE-MOT-0003 recibió el lote L-2401 (vence el 15/12/2026) antes que el L-2405 (vence el 30/06/2027); el lote L-2312, vencido el 01/10/2026, figura como bloqueado y no se entrega. El filtro FIL-ACE-0021, sin vencimiento, salió del lote más antiguo, L-FA-2603.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8.3 Piezas retiradas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pieza retirada no vuelve al stock utilizable. El cambio de pieza exige su condición (desgastada, dañada, en garantía o reutilizable) y su destino (evaluación, reparación, garantía, resguardo o baja). Solo una devolución aprobada y confirmada por el WMS puede reincorporar material al inventario.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9. Datos maestros y control de duplicidad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Un mismo repuesto no puede tener dos códigos. El código lo asigna el maestro con la estructura familia-subfamilia-correlativo (FIL-ACE-0021: filtros, aceite, número 21) y lo usan Mantenimiento, el WMS y el ERP. Antes de registrar un material, la descripción se normaliza: minúsculas, sin tildes ni signos, sin palabras vacías, con sinónimos unificados y palabras ordenadas. Si la similitud con un material existente es de 75 % o más, el alta se rechaza con MATERIAL_DUPLICADO.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13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Ejemplo de detección de duplicados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7"/>
        <w:gridCol w:w="2696"/>
        <w:gridCol w:w="3097"/>
      </w:tblGrid>
      <w:tr>
        <w:trPr>
          <w:cantSplit/>
          <w:tblHeader/>
        </w:trPr>
        <w:tc>
          <w:tcPr>
            <w:tcW w:type="dxa" w:w="3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Descripción ingresada</w:t>
            </w:r>
          </w:p>
        </w:tc>
        <w:tc>
          <w:tcPr>
            <w:tcW w:type="dxa" w:w="2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Descripción normalizada</w:t>
            </w:r>
          </w:p>
        </w:tc>
        <w:tc>
          <w:tcPr>
            <w:tcW w:type="dxa" w:w="30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3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Filtro de aceite motor Volvo D13 (existente)</w:t>
            </w:r>
          </w:p>
        </w:tc>
        <w:tc>
          <w:tcPr>
            <w:tcW w:type="dxa" w:w="2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aceite d13 filtro motor volvo</w:t>
            </w:r>
          </w:p>
        </w:tc>
        <w:tc>
          <w:tcPr>
            <w:tcW w:type="dxa" w:w="30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Código FIL-ACE-0021</w:t>
            </w:r>
          </w:p>
        </w:tc>
      </w:tr>
      <w:tr>
        <w:trPr>
          <w:cantSplit/>
          <w:tblHeader w:val="off"/>
        </w:trPr>
        <w:tc>
          <w:tcPr>
            <w:tcW w:type="dxa" w:w="3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FILTRO ACEITE P/ MOTOR VOLVO D-13</w:t>
            </w:r>
          </w:p>
        </w:tc>
        <w:tc>
          <w:tcPr>
            <w:tcW w:type="dxa" w:w="2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aceite d13 filtro motor volvo</w:t>
            </w:r>
          </w:p>
        </w:tc>
        <w:tc>
          <w:tcPr>
            <w:tcW w:type="dxa" w:w="30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Rechazado: 100 % igual a FIL-ACE-0021</w:t>
            </w:r>
          </w:p>
        </w:tc>
      </w:tr>
      <w:tr>
        <w:trPr>
          <w:cantSplit/>
          <w:tblHeader w:val="off"/>
        </w:trPr>
        <w:tc>
          <w:tcPr>
            <w:tcW w:type="dxa" w:w="3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Filtro de aceite motor Scania DC13</w:t>
            </w:r>
          </w:p>
        </w:tc>
        <w:tc>
          <w:tcPr>
            <w:tcW w:type="dxa" w:w="26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aceite dc13 filtro motor scania</w:t>
            </w:r>
          </w:p>
        </w:tc>
        <w:tc>
          <w:tcPr>
            <w:tcW w:type="dxa" w:w="30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Aceptado: código FIL-ACE-0035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base de datos es la segunda barrera: la descripción normalizada tiene restricción UNIQUE, de modo que ni una llamada directa ni un error del programa pueden crear el duplicado. La figura 7 muestra la pantalla de alta con la detección mientras se escribe.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Figura 7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Alta de material: código propuesto y rechazo del duplicado</w:t>
      </w:r>
    </w:p>
    <w:p>
      <w:pPr>
        <w:keepNext/>
        <w:jc w:val="center"/>
      </w:pPr>
      <w:r>
        <w:drawing>
          <wp:inline distT="0" distB="0" distL="0" distR="0">
            <wp:extent cx="5943600" cy="40100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Elaboración propia. Captura del sistema en funcionamiento.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Fuera del catálogo, la duplicidad se evita asignando cada dato a un único dueño: el stock se consulta al WMS en cada operación, el CPP y la OC al ERP, y la solución guarda solo referencias (número de reserva, de movimiento y de OC). La pantalla de inventario identifica la fuente de cada número.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10. Integración con WMS y ERP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14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Mecanismos de integración implementados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9"/>
        <w:gridCol w:w="3236"/>
        <w:gridCol w:w="4635"/>
      </w:tblGrid>
      <w:tr>
        <w:trPr>
          <w:cantSplit/>
          <w:tblHeader/>
        </w:trPr>
        <w:tc>
          <w:tcPr>
            <w:tcW w:type="dxa" w:w="1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Mecanismo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Uso</w:t>
            </w:r>
          </w:p>
        </w:tc>
        <w:tc>
          <w:tcPr>
            <w:tcW w:type="dxa" w:w="4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Implementación</w:t>
            </w:r>
          </w:p>
        </w:tc>
      </w:tr>
      <w:tr>
        <w:trPr>
          <w:cantSplit/>
          <w:tblHeader w:val="off"/>
        </w:trPr>
        <w:tc>
          <w:tcPr>
            <w:tcW w:type="dxa" w:w="1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API REST síncrona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Consulta de disponibilidad, en tránsito, valoración y kardex</w:t>
            </w:r>
          </w:p>
        </w:tc>
        <w:tc>
          <w:tcPr>
            <w:tcW w:type="dxa" w:w="4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GET /wms/disponibilidad, /erp/en-transito, /erp/valoracion, /erp/kardex</w:t>
            </w:r>
          </w:p>
        </w:tc>
      </w:tr>
      <w:tr>
        <w:trPr>
          <w:cantSplit/>
          <w:tblHeader w:val="off"/>
        </w:trPr>
        <w:tc>
          <w:tcPr>
            <w:tcW w:type="dxa" w:w="1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Cola asíncrona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Reservas, salidas, liberaciones y solicitudes al ERP</w:t>
            </w:r>
          </w:p>
        </w:tc>
        <w:tc>
          <w:tcPr>
            <w:tcW w:type="dxa" w:w="4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Bandeja de salida en PostgreSQL y cola mro.operaciones en RabbitMQ</w:t>
            </w:r>
          </w:p>
        </w:tc>
      </w:tr>
      <w:tr>
        <w:trPr>
          <w:cantSplit/>
          <w:tblHeader w:val="off"/>
        </w:trPr>
        <w:tc>
          <w:tcPr>
            <w:tcW w:type="dxa" w:w="1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Webhooks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Recepción aceptada, transferencia vencida y OC reprogramada</w:t>
            </w:r>
          </w:p>
        </w:tc>
        <w:tc>
          <w:tcPr>
            <w:tcW w:type="dxa" w:w="4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 /api/integracion/webhooks/wms y /erp con firma HMAC</w:t>
            </w:r>
          </w:p>
        </w:tc>
      </w:tr>
      <w:tr>
        <w:trPr>
          <w:cantSplit/>
          <w:tblHeader w:val="off"/>
        </w:trPr>
        <w:tc>
          <w:tcPr>
            <w:tcW w:type="dxa" w:w="1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Proceso programado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Respaldo y conciliación</w:t>
            </w:r>
          </w:p>
        </w:tc>
        <w:tc>
          <w:tcPr>
            <w:tcW w:type="dxa" w:w="4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Sincronización cada 15 min; POST /api/integracion/conciliaciones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10.1 Contrato de reserva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El trabajador envía la reserva con el id de la operación como clave de idempotencia. Si el mensaje se reenvía, viaja con el mismo id y el WMS devuelve la misma reserva sin crear otra.</w:t>
      </w:r>
    </w:p>
    <w:p>
      <w:pPr>
        <w:keepNext/>
        <w:keepLines/>
        <w:spacing w:after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POST /wms/reservas</w:t>
      </w:r>
    </w:p>
    <w:p>
      <w:pPr>
        <w:keepNext/>
        <w:keepLines/>
        <w:spacing w:after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Idempotency-Key: 7f3c9a1e-2b4d-4e8f-9a61-1c2d3e4f5a6b</w:t>
      </w:r>
    </w:p>
    <w:p>
      <w:pPr>
        <w:keepNext/>
        <w:keepLines/>
        <w:spacing w:after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keepNext/>
        <w:keepLines/>
        <w:spacing w:after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 "id_operacion": "7f3c9a1e-2b4d-4e8f-9a61-1c2d3e4f5a6b",</w:t>
      </w:r>
    </w:p>
    <w:p>
      <w:pPr>
        <w:keepNext/>
        <w:keepLines/>
        <w:spacing w:after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"orden": "OM-2026-0153", "material": "FIL-ACE-0021",</w:t>
      </w:r>
    </w:p>
    <w:p>
      <w:pPr>
        <w:keepNext/>
        <w:keepLines/>
        <w:spacing w:after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"almacen": "ALM-SCZ", "cantidad": 4 }</w:t>
      </w:r>
    </w:p>
    <w:p>
      <w:pPr>
        <w:keepNext/>
        <w:keepLines/>
        <w:spacing w:after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keepNext/>
        <w:keepLines/>
        <w:spacing w:after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201 { "resultado": "confirmada", "ref_reserva": "RES-88412" }</w:t>
      </w:r>
    </w:p>
    <w:p>
      <w:pPr>
        <w:keepNext w:val="false"/>
        <w:keepLines/>
        <w:spacing w:after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409 { "resultado": "rechazada", "causa": "STOCK_INSUFICIENTE", "disponible": 2 }</w:t>
      </w:r>
    </w:p>
    <w:p/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Antes de reenviar una operación que no tuvo respuesta, el trabajador consulta GET /wms/operaciones/{id}. Si el WMS ya la aplicó, se usa esa respuesta.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10.2 Contrato del webhook de recepción</w:t>
      </w:r>
    </w:p>
    <w:p>
      <w:pPr>
        <w:keepNext/>
        <w:keepLines/>
        <w:spacing w:after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POST /api/integracion/webhooks/wms</w:t>
      </w:r>
    </w:p>
    <w:p>
      <w:pPr>
        <w:keepNext/>
        <w:keepLines/>
        <w:spacing w:after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X-Firma: HMAC-SHA256 del cuerpo</w:t>
      </w:r>
    </w:p>
    <w:p>
      <w:pPr>
        <w:keepNext/>
        <w:keepLines/>
        <w:spacing w:after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keepNext/>
        <w:keepLines/>
        <w:spacing w:after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 "id_evento": "uuid", "evento": "recepcion.aceptada",</w:t>
      </w:r>
    </w:p>
    <w:p>
      <w:pPr>
        <w:keepNext/>
        <w:keepLines/>
        <w:spacing w:after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"orden_compra": "4500012871", "material": "VAL-COM-0042",</w:t>
      </w:r>
    </w:p>
    <w:p>
      <w:pPr>
        <w:keepNext w:val="false"/>
        <w:keepLines/>
        <w:spacing w:after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"cantidad_recibida": 1, "cantidad_aceptada": 1, "lote": "L-VD-2610" }</w:t>
      </w:r>
    </w:p>
    <w:p/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El id_evento se registra en operacion_integracion como evento entrante: si el mismo evento llega dos veces, se aplica una sola vez.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10.3 Cola en RabbitMQ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bandeja de salida en PostgreSQL es la fuente de verdad y RabbitMQ transporta el aviso. La operación se guarda en la misma transacción que el cambio de negocio; después del COMMIT se publica su id en mro.operaciones. Si no hay respuesta, el trabajador publica el mensaje en mro.operaciones.reintento con un tiempo de vida igual a la espera (2 s y luego 4 s); al vencer, RabbitMQ lo devuelve a la cola principal. Al agotar los intentos, el mensaje pasa a mro.operaciones.fallidas y se registra la incidencia. Si un aviso no llega al broker, el barrido de la bandeja cada 5 s recupera la operación.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Figura 8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Pantalla Integración: simulación de fallas, contadores del WMS y bandeja de salida</w:t>
      </w:r>
    </w:p>
    <w:p>
      <w:pPr>
        <w:keepNext/>
        <w:jc w:val="center"/>
      </w:pPr>
      <w:r>
        <w:drawing>
          <wp:inline distT="0" distB="0" distL="0" distR="0">
            <wp:extent cx="5219700" cy="76200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Elaboración propia. Captura del sistema en funcionamiento.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11. Sincronización y recuperación ante fallas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El envío de una operación no equivale a una operación completada. La tabla 15 resume la respuesta implementada para cada falla y su evidencia.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15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Tratamiento de fallas implementado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4077"/>
        <w:gridCol w:w="3463"/>
      </w:tblGrid>
      <w:tr>
        <w:trPr>
          <w:cantSplit/>
          <w:tblHeader/>
        </w:trPr>
        <w:tc>
          <w:tcPr>
            <w:tcW w:type="dxa" w:w="1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Situación</w:t>
            </w:r>
          </w:p>
        </w:tc>
        <w:tc>
          <w:tcPr>
            <w:tcW w:type="dxa" w:w="4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Respuesta del sistema</w:t>
            </w:r>
          </w:p>
        </w:tc>
        <w:tc>
          <w:tcPr>
            <w:tcW w:type="dxa" w:w="3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Evidencia</w:t>
            </w:r>
          </w:p>
        </w:tc>
      </w:tr>
      <w:tr>
        <w:trPr>
          <w:cantSplit/>
          <w:tblHeader w:val="off"/>
        </w:trPr>
        <w:tc>
          <w:tcPr>
            <w:tcW w:type="dxa" w:w="1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WMS sin respuesta</w:t>
            </w:r>
          </w:p>
        </w:tc>
        <w:tc>
          <w:tcPr>
            <w:tcW w:type="dxa" w:w="4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Reintentos a 1,5 s y 3 s (demostración) o a 2 s y 4 s (servidor); al tercer intento fallido; incidencia WMS_SIN_RESPUESTA y alerta a Almacén</w:t>
            </w:r>
          </w:p>
        </w:tc>
        <w:tc>
          <w:tcPr>
            <w:tcW w:type="dxa" w:w="3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Escenario y prueba de caída</w:t>
            </w:r>
          </w:p>
        </w:tc>
      </w:tr>
      <w:tr>
        <w:trPr>
          <w:cantSplit/>
          <w:tblHeader w:val="off"/>
        </w:trPr>
        <w:tc>
          <w:tcPr>
            <w:tcW w:type="dxa" w:w="1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ERP sin respuesta</w:t>
            </w:r>
          </w:p>
        </w:tc>
        <w:tc>
          <w:tcPr>
            <w:tcW w:type="dxa" w:w="4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Igual, con ERP_SIN_RESPUESTA y alerta a Compras</w:t>
            </w:r>
          </w:p>
        </w:tc>
        <w:tc>
          <w:tcPr>
            <w:tcW w:type="dxa" w:w="3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Misma lógica por destino</w:t>
            </w:r>
          </w:p>
        </w:tc>
      </w:tr>
      <w:tr>
        <w:trPr>
          <w:cantSplit/>
          <w:tblHeader w:val="off"/>
        </w:trPr>
        <w:tc>
          <w:tcPr>
            <w:tcW w:type="dxa" w:w="1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Stock insuficiente</w:t>
            </w:r>
          </w:p>
        </w:tc>
        <w:tc>
          <w:tcPr>
            <w:tcW w:type="dxa" w:w="4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Rechazo sin tocar el stock, orden en espera y solicitud de compra</w:t>
            </w:r>
          </w:p>
        </w:tc>
        <w:tc>
          <w:tcPr>
            <w:tcW w:type="dxa" w:w="3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Escenario de stock insuficiente</w:t>
            </w:r>
          </w:p>
        </w:tc>
      </w:tr>
      <w:tr>
        <w:trPr>
          <w:cantSplit/>
          <w:tblHeader w:val="off"/>
        </w:trPr>
        <w:tc>
          <w:tcPr>
            <w:tcW w:type="dxa" w:w="1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Datos inválidos</w:t>
            </w:r>
          </w:p>
        </w:tc>
        <w:tc>
          <w:tcPr>
            <w:tcW w:type="dxa" w:w="4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Rechazo con DATOS_INVALIDOS sin modificar información</w:t>
            </w:r>
          </w:p>
        </w:tc>
        <w:tc>
          <w:tcPr>
            <w:tcW w:type="dxa" w:w="3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Prueba de material inexistente</w:t>
            </w:r>
          </w:p>
        </w:tc>
      </w:tr>
      <w:tr>
        <w:trPr>
          <w:cantSplit/>
          <w:tblHeader w:val="off"/>
        </w:trPr>
        <w:tc>
          <w:tcPr>
            <w:tcW w:type="dxa" w:w="1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Confirmación perdida</w:t>
            </w:r>
          </w:p>
        </w:tc>
        <w:tc>
          <w:tcPr>
            <w:tcW w:type="dxa" w:w="4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Consulta por id antes de reenviar; incidencia CONFIRMACION_PERDIDA ya resuelta</w:t>
            </w:r>
          </w:p>
        </w:tc>
        <w:tc>
          <w:tcPr>
            <w:tcW w:type="dxa" w:w="3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 WMS recibió un solo envío</w:t>
            </w:r>
          </w:p>
        </w:tc>
      </w:tr>
      <w:tr>
        <w:trPr>
          <w:cantSplit/>
          <w:tblHeader w:val="off"/>
        </w:trPr>
        <w:tc>
          <w:tcPr>
            <w:tcW w:type="dxa" w:w="1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Recepción parcial</w:t>
            </w:r>
          </w:p>
        </w:tc>
        <w:tc>
          <w:tcPr>
            <w:tcW w:type="dxa" w:w="4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Ingresa lo aceptado; la solicitud queda Recibida parcial con saldo y alerta</w:t>
            </w:r>
          </w:p>
        </w:tc>
        <w:tc>
          <w:tcPr>
            <w:tcW w:type="dxa" w:w="3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Escenario de recepción</w:t>
            </w:r>
          </w:p>
        </w:tc>
      </w:tr>
      <w:tr>
        <w:trPr>
          <w:cantSplit/>
          <w:tblHeader w:val="off"/>
        </w:trPr>
        <w:tc>
          <w:tcPr>
            <w:tcW w:type="dxa" w:w="1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Proveedor retrasado</w:t>
            </w:r>
          </w:p>
        </w:tc>
        <w:tc>
          <w:tcPr>
            <w:tcW w:type="dxa" w:w="4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Webhook oc.reprogramada: nueva fecha, incidencia y alerta a Compras</w:t>
            </w:r>
          </w:p>
        </w:tc>
        <w:tc>
          <w:tcPr>
            <w:tcW w:type="dxa" w:w="3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 /simulador/erp/reprogramaciones</w:t>
            </w:r>
          </w:p>
        </w:tc>
      </w:tr>
      <w:tr>
        <w:trPr>
          <w:cantSplit/>
          <w:tblHeader w:val="off"/>
        </w:trPr>
        <w:tc>
          <w:tcPr>
            <w:tcW w:type="dxa" w:w="1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Diferencia de conciliación</w:t>
            </w:r>
          </w:p>
        </w:tc>
        <w:tc>
          <w:tcPr>
            <w:tcW w:type="dxa" w:w="4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Registro de la diferencia e incidencia para Almacén</w:t>
            </w:r>
          </w:p>
        </w:tc>
        <w:tc>
          <w:tcPr>
            <w:tcW w:type="dxa" w:w="34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Escenario de conciliación</w:t>
            </w:r>
          </w:p>
        </w:tc>
      </w:tr>
    </w:tbl>
    <w:p>
      <w:pPr>
        <w:spacing w:after="120"/>
      </w:pP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Figura 9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Escenario de demostración: WMS sin respuesta y recuperación sin duplicar</w:t>
      </w:r>
    </w:p>
    <w:p>
      <w:pPr>
        <w:keepNext/>
        <w:jc w:val="center"/>
      </w:pPr>
      <w:r>
        <w:drawing>
          <wp:inline distT="0" distB="0" distL="0" distR="0">
            <wp:extent cx="5943600" cy="60102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Elaboración propia. Captura del sistema en funcionamiento.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Los controles técnicos recuperan operaciones que sí fueron registradas; no pueden crear un movimiento físico que nunca se registró. Por eso todo movimiento se registra al momento de realizarse y la conciliación detecta los ajustes hechos fuera del proceso.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12. Validación funcional y técnica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validación se hizo en tres niveles. Las pruebas unitarias ejecutan el núcleo en memoria con un reloj controlado. Las pruebas de integración levantan la API Express, PostgreSQL 16, RabbitMQ y los simuladores, y recorren el proceso por HTTP. La colección de Postman se ejecutó con Newman contra el sistema completo en marcha.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16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Resultados de las pruebas automatizadas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2"/>
        <w:gridCol w:w="3990"/>
        <w:gridCol w:w="3338"/>
      </w:tblGrid>
      <w:tr>
        <w:trPr>
          <w:cantSplit/>
          <w:tblHeader/>
        </w:trPr>
        <w:tc>
          <w:tcPr>
            <w:tcW w:type="dxa" w:w="2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Conjunto</w:t>
            </w:r>
          </w:p>
        </w:tc>
        <w:tc>
          <w:tcPr>
            <w:tcW w:type="dxa" w:w="3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Qué ejecuta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2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Unitarias (node:test)</w:t>
            </w:r>
          </w:p>
        </w:tc>
        <w:tc>
          <w:tcPr>
            <w:tcW w:type="dxa" w:w="3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Cálculos, estados, MDM y flujos del núcleo en memoria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23 de 23 aprobadas</w:t>
            </w:r>
          </w:p>
        </w:tc>
      </w:tr>
      <w:tr>
        <w:trPr>
          <w:cantSplit/>
          <w:tblHeader w:val="off"/>
        </w:trPr>
        <w:tc>
          <w:tcPr>
            <w:tcW w:type="dxa" w:w="2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Integración (node:test)</w:t>
            </w:r>
          </w:p>
        </w:tc>
        <w:tc>
          <w:tcPr>
            <w:tcW w:type="dxa" w:w="3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API Express, PostgreSQL, RabbitMQ y simuladores por HTTP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12 de 12 aprobadas</w:t>
            </w:r>
          </w:p>
        </w:tc>
      </w:tr>
      <w:tr>
        <w:trPr>
          <w:cantSplit/>
          <w:tblHeader w:val="off"/>
        </w:trPr>
        <w:tc>
          <w:tcPr>
            <w:tcW w:type="dxa" w:w="2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Postman (Newman)</w:t>
            </w:r>
          </w:p>
        </w:tc>
        <w:tc>
          <w:tcPr>
            <w:tcW w:type="dxa" w:w="3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33 solicitudes en orden sobre el sistema en marcha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42 de 42 aserciones; 20 ms de respuesta media</w:t>
            </w:r>
          </w:p>
        </w:tc>
      </w:tr>
    </w:tbl>
    <w:p>
      <w:pPr>
        <w:spacing w:after="120"/>
      </w:pP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17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Escenarios de validación y resultado obtenido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6107"/>
      </w:tblGrid>
      <w:tr>
        <w:trPr>
          <w:cantSplit/>
          <w:tblHeader/>
        </w:trPr>
        <w:tc>
          <w:tcPr>
            <w:tcW w:type="dxa" w:w="3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Escenario</w:t>
            </w:r>
          </w:p>
        </w:tc>
        <w:tc>
          <w:tcPr>
            <w:tcW w:type="dxa" w:w="61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Resultado obtenido</w:t>
            </w:r>
          </w:p>
        </w:tc>
      </w:tr>
      <w:tr>
        <w:trPr>
          <w:cantSplit/>
          <w:tblHeader w:val="off"/>
        </w:trPr>
        <w:tc>
          <w:tcPr>
            <w:tcW w:type="dxa" w:w="3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Reserva y salida con stock suficiente</w:t>
            </w:r>
          </w:p>
        </w:tc>
        <w:tc>
          <w:tcPr>
            <w:tcW w:type="dxa" w:w="61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OM-2026-0153: RES-88412 confirmada, salida MOV-51231 del lote L-FA-2603, Bs 354,00</w:t>
            </w:r>
          </w:p>
        </w:tc>
      </w:tr>
      <w:tr>
        <w:trPr>
          <w:cantSplit/>
          <w:tblHeader w:val="off"/>
        </w:trPr>
        <w:tc>
          <w:tcPr>
            <w:tcW w:type="dxa" w:w="3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Cantidad superior al disponible</w:t>
            </w:r>
          </w:p>
        </w:tc>
        <w:tc>
          <w:tcPr>
            <w:tcW w:type="dxa" w:w="61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STOCK_INSUFICIENTE; stock sin cambios; SOL-2026-0042 ligada a OM-2026-0154</w:t>
            </w:r>
          </w:p>
        </w:tc>
      </w:tr>
      <w:tr>
        <w:trPr>
          <w:cantSplit/>
          <w:tblHeader w:val="off"/>
        </w:trPr>
        <w:tc>
          <w:tcPr>
            <w:tcW w:type="dxa" w:w="3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Envío repetido de la misma solicitud</w:t>
            </w:r>
          </w:p>
        </w:tc>
        <w:tc>
          <w:tcPr>
            <w:tcW w:type="dxa" w:w="61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Tres envíos del mismo id; una sola reserva RES-88417</w:t>
            </w:r>
          </w:p>
        </w:tc>
      </w:tr>
      <w:tr>
        <w:trPr>
          <w:cantSplit/>
          <w:tblHeader w:val="off"/>
        </w:trPr>
        <w:tc>
          <w:tcPr>
            <w:tcW w:type="dxa" w:w="3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Interrupción antes del procesamiento</w:t>
            </w:r>
          </w:p>
        </w:tc>
        <w:tc>
          <w:tcPr>
            <w:tcW w:type="dxa" w:w="61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Dos reintentos, incidencia, cierre bloqueado y reproceso confirmado</w:t>
            </w:r>
          </w:p>
        </w:tc>
      </w:tr>
      <w:tr>
        <w:trPr>
          <w:cantSplit/>
          <w:tblHeader w:val="off"/>
        </w:trPr>
        <w:tc>
          <w:tcPr>
            <w:tcW w:type="dxa" w:w="3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Pérdida de confirmación</w:t>
            </w:r>
          </w:p>
        </w:tc>
        <w:tc>
          <w:tcPr>
            <w:tcW w:type="dxa" w:w="61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Segundo intento recuperado por id; el WMS recibió un solo envío</w:t>
            </w:r>
          </w:p>
        </w:tc>
      </w:tr>
      <w:tr>
        <w:trPr>
          <w:cantSplit/>
          <w:tblHeader w:val="off"/>
        </w:trPr>
        <w:tc>
          <w:tcPr>
            <w:tcW w:type="dxa" w:w="3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Dos solicitudes simultáneas</w:t>
            </w:r>
          </w:p>
        </w:tc>
        <w:tc>
          <w:tcPr>
            <w:tcW w:type="dxa" w:w="61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Una orden en Materiales reservados y la otra En espera de repuestos</w:t>
            </w:r>
          </w:p>
        </w:tc>
      </w:tr>
      <w:tr>
        <w:trPr>
          <w:cantSplit/>
          <w:tblHeader w:val="off"/>
        </w:trPr>
        <w:tc>
          <w:tcPr>
            <w:tcW w:type="dxa" w:w="3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Punto de reorden alcanzado</w:t>
            </w:r>
          </w:p>
        </w:tc>
        <w:tc>
          <w:tcPr>
            <w:tcW w:type="dxa" w:w="61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SOL-2026-0041 por 105 unidades (EOQ)</w:t>
            </w:r>
          </w:p>
        </w:tc>
      </w:tr>
      <w:tr>
        <w:trPr>
          <w:cantSplit/>
          <w:tblHeader w:val="off"/>
        </w:trPr>
        <w:tc>
          <w:tcPr>
            <w:tcW w:type="dxa" w:w="3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Punto de reorden con compra en curso</w:t>
            </w:r>
          </w:p>
        </w:tc>
        <w:tc>
          <w:tcPr>
            <w:tcW w:type="dxa" w:w="61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 se crea otra solicitud: SOL-2026-0040 con OC 4500012871</w:t>
            </w:r>
          </w:p>
        </w:tc>
      </w:tr>
      <w:tr>
        <w:trPr>
          <w:cantSplit/>
          <w:tblHeader w:val="off"/>
        </w:trPr>
        <w:tc>
          <w:tcPr>
            <w:tcW w:type="dxa" w:w="3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Recepción parcial</w:t>
            </w:r>
          </w:p>
        </w:tc>
        <w:tc>
          <w:tcPr>
            <w:tcW w:type="dxa" w:w="61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 de 2 unidades; CPP de Bs 6 850 a Bs 6 875; reserva reintentada</w:t>
            </w:r>
          </w:p>
        </w:tc>
      </w:tr>
      <w:tr>
        <w:trPr>
          <w:cantSplit/>
          <w:tblHeader w:val="off"/>
        </w:trPr>
        <w:tc>
          <w:tcPr>
            <w:tcW w:type="dxa" w:w="3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Rol sin permiso</w:t>
            </w:r>
          </w:p>
        </w:tc>
        <w:tc>
          <w:tcPr>
            <w:tcW w:type="dxa" w:w="61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SIN_PERMISO; la bitácora no registra cambios</w:t>
            </w:r>
          </w:p>
        </w:tc>
      </w:tr>
      <w:tr>
        <w:trPr>
          <w:cantSplit/>
          <w:tblHeader w:val="off"/>
        </w:trPr>
        <w:tc>
          <w:tcPr>
            <w:tcW w:type="dxa" w:w="3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Material duplicado</w:t>
            </w:r>
          </w:p>
        </w:tc>
        <w:tc>
          <w:tcPr>
            <w:tcW w:type="dxa" w:w="61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MATERIAL_DUPLICADO por la API y DUPLICADO por la base de datos</w:t>
            </w:r>
          </w:p>
        </w:tc>
      </w:tr>
      <w:tr>
        <w:trPr>
          <w:cantSplit/>
          <w:tblHeader w:val="off"/>
        </w:trPr>
        <w:tc>
          <w:tcPr>
            <w:tcW w:type="dxa" w:w="3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Bitácora</w:t>
            </w:r>
          </w:p>
        </w:tc>
        <w:tc>
          <w:tcPr>
            <w:tcW w:type="dxa" w:w="61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UPDATE y DELETE rechazados por el disparador</w:t>
            </w:r>
          </w:p>
        </w:tc>
      </w:tr>
      <w:tr>
        <w:trPr>
          <w:cantSplit/>
          <w:tblHeader w:val="off"/>
        </w:trPr>
        <w:tc>
          <w:tcPr>
            <w:tcW w:type="dxa" w:w="3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Conciliación</w:t>
            </w:r>
          </w:p>
        </w:tc>
        <w:tc>
          <w:tcPr>
            <w:tcW w:type="dxa" w:w="61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ROD-BOM-0017: WMS 5 y ERP 6; incidencia DIFERENCIA_CONCILIACION</w:t>
            </w:r>
          </w:p>
        </w:tc>
      </w:tr>
    </w:tbl>
    <w:p>
      <w:pPr>
        <w:spacing w:after="120"/>
      </w:pP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Figura 10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Escenario de demostración: confirmación perdida y salida por FEFO</w:t>
      </w:r>
    </w:p>
    <w:p>
      <w:pPr>
        <w:keepNext/>
        <w:jc w:val="center"/>
      </w:pPr>
      <w:r>
        <w:drawing>
          <wp:inline distT="0" distB="0" distL="0" distR="0">
            <wp:extent cx="5943600" cy="50101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Elaboración propia. Captura del sistema en funcionamiento.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12.1 Calidad de la interfaz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interfaz se construyó con cuatro skills de diseño (frontend-design, artifact-design, artifact-diagramming y dataviz) y se revisó con tres más, descargadas de sus repositorios públicos: taste-skill, impeccable y ui-ux-pro-max. Cada una aporta un medidor que se ejecutó sobre la aplicación en un navegador real a 1 440, 768 y 390 píxeles de ancho.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18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Revisión de la interfaz con las skills de diseño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1"/>
        <w:gridCol w:w="2544"/>
        <w:gridCol w:w="2775"/>
      </w:tblGrid>
      <w:tr>
        <w:trPr>
          <w:cantSplit/>
          <w:tblHeader/>
        </w:trPr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Antes</w:t>
            </w:r>
          </w:p>
        </w:tc>
        <w:tc>
          <w:tcPr>
            <w:tcW w:type="dxa" w:w="2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Después</w:t>
            </w:r>
          </w:p>
        </w:tc>
      </w:tr>
      <w:tr>
        <w:trPr>
          <w:cantSplit/>
          <w:tblHeader w:val="off"/>
        </w:trPr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taste-skill: lint de pantallas de aplicación</w:t>
            </w:r>
          </w:p>
        </w:tc>
        <w:tc>
          <w:tcPr>
            <w:tcW w:type="dxa" w:w="2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 fallas y 7 avisos</w:t>
            </w:r>
          </w:p>
        </w:tc>
        <w:tc>
          <w:tcPr>
            <w:tcW w:type="dxa" w:w="2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0 fallas; 2 avisos justificados</w:t>
            </w:r>
          </w:p>
        </w:tc>
      </w:tr>
      <w:tr>
        <w:trPr>
          <w:cantSplit/>
          <w:tblHeader w:val="off"/>
        </w:trPr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taste-skill: inspector en el navegador, 9 vistas</w:t>
            </w:r>
          </w:p>
        </w:tc>
        <w:tc>
          <w:tcPr>
            <w:tcW w:type="dxa" w:w="2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 falla y 1 aviso en el panel</w:t>
            </w:r>
          </w:p>
        </w:tc>
        <w:tc>
          <w:tcPr>
            <w:tcW w:type="dxa" w:w="2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0 fallas en las 9 vistas</w:t>
            </w:r>
          </w:p>
        </w:tc>
      </w:tr>
      <w:tr>
        <w:trPr>
          <w:cantSplit/>
          <w:tblHeader w:val="off"/>
        </w:trPr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impeccable: detector de patrones genéricos</w:t>
            </w:r>
          </w:p>
        </w:tc>
        <w:tc>
          <w:tcPr>
            <w:tcW w:type="dxa" w:w="2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 hallazgos</w:t>
            </w:r>
          </w:p>
        </w:tc>
        <w:tc>
          <w:tcPr>
            <w:tcW w:type="dxa" w:w="2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0 hallazgos</w:t>
            </w:r>
          </w:p>
        </w:tc>
      </w:tr>
      <w:tr>
        <w:trPr>
          <w:cantSplit/>
          <w:tblHeader w:val="off"/>
        </w:trPr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impeccable: auditoría técnica</w:t>
            </w:r>
          </w:p>
        </w:tc>
        <w:tc>
          <w:tcPr>
            <w:tcW w:type="dxa" w:w="2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sin medir</w:t>
            </w:r>
          </w:p>
        </w:tc>
        <w:tc>
          <w:tcPr>
            <w:tcW w:type="dxa" w:w="2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19 de 20 (excelente)</w:t>
            </w:r>
          </w:p>
        </w:tc>
      </w:tr>
      <w:tr>
        <w:trPr>
          <w:cantSplit/>
          <w:tblHeader w:val="off"/>
        </w:trPr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ui-ux-pro-max: lista de verificación de entrega</w:t>
            </w:r>
          </w:p>
        </w:tc>
        <w:tc>
          <w:tcPr>
            <w:tcW w:type="dxa" w:w="2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sin medir</w:t>
            </w:r>
          </w:p>
        </w:tc>
        <w:tc>
          <w:tcPr>
            <w:tcW w:type="dxa" w:w="2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7 de 7 puntos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Los cambios principales fueron: la interfaz en tinta con color solo en los datos y los estados; un juego de iconos de trazo en lugar de símbolos de texto; indicadores del proceso en un contenedor dividido; el hallazgo del día calculado de los datos bajo el título del panel; filas seleccionables operables con teclado; botones deshabilitados legibles y con su motivo, y objetivos táctiles de 44 píxeles en teléfono. El detalle, con capturas antes y después, está en docs/calidad-interfaz del repositorio.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13. Guía de la demostración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sección Demostración de la aplicación contiene un escenario por cada pregunta prevista en la defensa. Cada escenario ejecuta el sistema y muestra los datos que produce. La tabla 19 sirve como guion.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Tabla 19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Preguntas de la defensa, escenario y concepto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8"/>
        <w:gridCol w:w="2913"/>
        <w:gridCol w:w="3789"/>
      </w:tblGrid>
      <w:tr>
        <w:trPr>
          <w:cantSplit/>
          <w:tblHeader/>
        </w:trPr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Pregunta</w:t>
            </w:r>
          </w:p>
        </w:tc>
        <w:tc>
          <w:tcPr>
            <w:tcW w:type="dxa" w:w="2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Escenario o pantalla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Concepto que se demuestra</w:t>
            </w:r>
          </w:p>
        </w:tc>
      </w:tr>
      <w:tr>
        <w:trPr>
          <w:cantSplit/>
          <w:tblHeader w:val="off"/>
        </w:trPr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¿Cómo es su inventario y qué algoritmo usan?</w:t>
            </w:r>
          </w:p>
        </w:tc>
        <w:tc>
          <w:tcPr>
            <w:tcW w:type="dxa" w:w="2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Flujo de punta a punta; Inventario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Inventario MRO perpetuo, disponible, posición, SS, ROP, EOQ, CPP, FEFO y PEPS</w:t>
            </w:r>
          </w:p>
        </w:tc>
      </w:tr>
      <w:tr>
        <w:trPr>
          <w:cantSplit/>
          <w:tblHeader w:val="off"/>
        </w:trPr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¿Cómo se integran los módulos?</w:t>
            </w:r>
          </w:p>
        </w:tc>
        <w:tc>
          <w:tcPr>
            <w:tcW w:type="dxa" w:w="2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Arquitectura; Integración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Tres capas, bandeja de salida, RabbitMQ, REST y webhooks</w:t>
            </w:r>
          </w:p>
        </w:tc>
      </w:tr>
      <w:tr>
        <w:trPr>
          <w:cantSplit/>
          <w:tblHeader w:val="off"/>
        </w:trPr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¿Cómo evitan la duplicidad?</w:t>
            </w:r>
          </w:p>
        </w:tc>
        <w:tc>
          <w:tcPr>
            <w:tcW w:type="dxa" w:w="2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Códigos duplicados; compra en curso; idempotencia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Código maestro único, un dato un dueño, mismo id sin doble efecto</w:t>
            </w:r>
          </w:p>
        </w:tc>
      </w:tr>
      <w:tr>
        <w:trPr>
          <w:cantSplit/>
          <w:tblHeader w:val="off"/>
        </w:trPr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¿Cómo manejan los precios?</w:t>
            </w:r>
          </w:p>
        </w:tc>
        <w:tc>
          <w:tcPr>
            <w:tcW w:type="dxa" w:w="2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Inventario, kardex; Compras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CPP calculado por el ERP; precio de la OC; puntaje de cotizaciones</w:t>
            </w:r>
          </w:p>
        </w:tc>
      </w:tr>
      <w:tr>
        <w:trPr>
          <w:cantSplit/>
          <w:tblHeader w:val="off"/>
        </w:trPr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¿Cómo se actualizan los datos?</w:t>
            </w:r>
          </w:p>
        </w:tc>
        <w:tc>
          <w:tcPr>
            <w:tcW w:type="dxa" w:w="2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Llegada de la compra; bandeja de salida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Webhook de recepción, CPP recalculado, reserva reintentada</w:t>
            </w:r>
          </w:p>
        </w:tc>
      </w:tr>
      <w:tr>
        <w:trPr>
          <w:cantSplit/>
          <w:tblHeader w:val="off"/>
        </w:trPr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¿Qué pasa si falla un sistema?</w:t>
            </w:r>
          </w:p>
        </w:tc>
        <w:tc>
          <w:tcPr>
            <w:tcW w:type="dxa" w:w="2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WMS sin respuesta; respuesta perdida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Reintentos, incidencia con causa, consulta por id, cierre bloqueado</w:t>
            </w:r>
          </w:p>
        </w:tc>
      </w:tr>
      <w:tr>
        <w:trPr>
          <w:cantSplit/>
          <w:tblHeader w:val="off"/>
        </w:trPr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¿Hay bajo acoplamiento y alta cohesión?</w:t>
            </w:r>
          </w:p>
        </w:tc>
        <w:tc>
          <w:tcPr>
            <w:tcW w:type="dxa" w:w="2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Núcleo con puertos; la misma lógica en navegador y servidor</w:t>
            </w:r>
          </w:p>
        </w:tc>
      </w:tr>
      <w:tr>
        <w:trPr>
          <w:cantSplit/>
          <w:tblHeader w:val="off"/>
        </w:trPr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¿Cómo trabaja Express?</w:t>
            </w:r>
          </w:p>
        </w:tc>
        <w:tc>
          <w:tcPr>
            <w:tcW w:type="dxa" w:w="2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Arquitectura: recorrido de una solicitud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Middleware, rutas por componente, servicio y manejador de errores</w:t>
            </w:r>
          </w:p>
        </w:tc>
      </w:tr>
      <w:tr>
        <w:trPr>
          <w:cantSplit/>
          <w:tblHeader w:val="off"/>
        </w:trPr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¿Cómo funcionan los maestros?</w:t>
            </w:r>
          </w:p>
        </w:tc>
        <w:tc>
          <w:tcPr>
            <w:tcW w:type="dxa" w:w="2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Datos maestros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Código asignado, descripción normalizada, compatibilidad y proveedores</w:t>
            </w:r>
          </w:p>
        </w:tc>
      </w:tr>
      <w:tr>
        <w:trPr>
          <w:cantSplit/>
          <w:tblHeader w:val="off"/>
        </w:trPr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¿Cada usuario hace solo lo suyo?</w:t>
            </w:r>
          </w:p>
        </w:tc>
        <w:tc>
          <w:tcPr>
            <w:tcW w:type="dxa" w:w="29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Permisos; Auditoría</w:t>
            </w:r>
          </w:p>
        </w:tc>
        <w:tc>
          <w:tcPr>
            <w:tcW w:type="dxa" w:w="37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Autorización por rol y bitácora inalterable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14. Ejecución del sistema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Con Docker, la orden docker compose up --build levanta PostgreSQL, RabbitMQ, los simuladores (puerto 4000), la API con la interfaz (puerto 3000) y el trabajador. Sin Docker, se crea la base con npm run db:init y se inician npm run mocks, npm run api y npm run worker. Los usuarios de demostración usan la contraseña Demo2026!: tec.rojas, sup.vargas, alm.mamani, com.flores, ctl.quiroga, adm.sistema y ger.salazar. Las pruebas se ejecutan con npm test y npm run test:integracion; la colección está en postman/YPFB-MRO.postman_collection.json.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Figura 11</w:t>
      </w:r>
    </w:p>
    <w:p>
      <w:pPr>
        <w:keepNext/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Interfaz React servida por la API Express con PostgreSQL y RabbitMQ</w:t>
      </w:r>
    </w:p>
    <w:p>
      <w:pPr>
        <w:keepNext/>
        <w:jc w:val="center"/>
      </w:pPr>
      <w:r>
        <w:drawing>
          <wp:inline distT="0" distB="0" distL="0" distR="0">
            <wp:extent cx="5943600" cy="37147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Elaboración propia. Captura de la aplicación en http://localhost:3000.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15. Resultado de la fase de desarrollo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El sistema desarrollado registra la necesidad de material, obtiene la disponibilidad oficial del WMS, controla la reserva y la entrega, valoriza el consumo al CPP del ERP, genera solicitudes de compra cuando la posición alcanza el punto de reorden o falta stock, recibe del ERP la referencia de la orden formal y documenta la pieza retirada e instalada.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La consistencia se mantiene porque cada dato tiene un único dueño y cada operación un único identificador. PostgreSQL conserva los objetos propios del proceso y su trazabilidad, RabbitMQ transporta las operaciones pendientes con sus reintentos, el trabajador de integración centraliza la comunicación con los sistemas externos y la API aplica las reglas de compatibilidad, reposición, autorización, cierre e integridad.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color w:val="000000"/>
        </w:rPr>
        <w:t xml:space="preserve">El prototipo cubre 21 de los 23 requisitos funcionales de forma completa y 2 de forma parcial (RF-10 y RF-23), y comprueba 8 de los 10 requisitos no funcionales; RNF-02 y RNF-09 corresponden a la operación en producción. Las 35 pruebas automatizadas y las 42 aserciones de Postman se aprobaron sin fallas. La siguiente fase, de integración y orquestación, parte de estos contratos y de esta evidencia.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Referencias</w:t>
      </w:r>
    </w:p>
    <w:p>
      <w:pPr>
        <w:spacing w:after="120" w:line="276"/>
        <w:ind w:left="720" w:hanging="720"/>
      </w:pPr>
      <w:r>
        <w:rPr>
          <w:rFonts w:ascii="Times New Roman" w:cs="Times New Roman" w:eastAsia="Times New Roman" w:hAnsi="Times New Roman"/>
          <w:color w:val="000000"/>
        </w:rPr>
        <w:t xml:space="preserve">Cockburn, A. (2005). </w:t>
      </w: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Hexagonal architecture</w:t>
      </w:r>
      <w:r>
        <w:rPr>
          <w:rFonts w:ascii="Times New Roman" w:cs="Times New Roman" w:eastAsia="Times New Roman" w:hAnsi="Times New Roman"/>
          <w:color w:val="000000"/>
        </w:rPr>
        <w:t xml:space="preserve">. https://alistair.cockburn.us/hexagonal-architecture/</w:t>
      </w:r>
    </w:p>
    <w:p>
      <w:pPr>
        <w:spacing w:after="120" w:line="276"/>
        <w:ind w:left="720" w:hanging="720"/>
      </w:pPr>
      <w:r>
        <w:rPr>
          <w:rFonts w:ascii="Times New Roman" w:cs="Times New Roman" w:eastAsia="Times New Roman" w:hAnsi="Times New Roman"/>
          <w:color w:val="000000"/>
        </w:rPr>
        <w:t xml:space="preserve">Express. (2024). </w:t>
      </w: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Express 4.x API reference</w:t>
      </w:r>
      <w:r>
        <w:rPr>
          <w:rFonts w:ascii="Times New Roman" w:cs="Times New Roman" w:eastAsia="Times New Roman" w:hAnsi="Times New Roman"/>
          <w:color w:val="000000"/>
        </w:rPr>
        <w:t xml:space="preserve">. https://expressjs.com/en/4x/api.html</w:t>
      </w:r>
    </w:p>
    <w:p>
      <w:pPr>
        <w:spacing w:after="120" w:line="276"/>
        <w:ind w:left="720" w:hanging="720"/>
      </w:pPr>
      <w:r>
        <w:rPr>
          <w:rFonts w:ascii="Times New Roman" w:cs="Times New Roman" w:eastAsia="Times New Roman" w:hAnsi="Times New Roman"/>
          <w:color w:val="000000"/>
        </w:rPr>
        <w:t xml:space="preserve">Hohpe, G., y Woolf, B. (2003). </w:t>
      </w: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Enterprise integration patterns: Designing, building, and deploying messaging solutions</w:t>
      </w:r>
      <w:r>
        <w:rPr>
          <w:rFonts w:ascii="Times New Roman" w:cs="Times New Roman" w:eastAsia="Times New Roman" w:hAnsi="Times New Roman"/>
          <w:color w:val="000000"/>
        </w:rPr>
        <w:t xml:space="preserve">. Addison-Wesley.</w:t>
      </w:r>
    </w:p>
    <w:p>
      <w:pPr>
        <w:spacing w:after="120" w:line="276"/>
        <w:ind w:left="720" w:hanging="720"/>
      </w:pPr>
      <w:r>
        <w:rPr>
          <w:rFonts w:ascii="Times New Roman" w:cs="Times New Roman" w:eastAsia="Times New Roman" w:hAnsi="Times New Roman"/>
          <w:color w:val="000000"/>
        </w:rPr>
        <w:t xml:space="preserve">International Accounting Standards Board. (2003). </w:t>
      </w: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Norma Internacional de Contabilidad 2: Inventarios</w:t>
      </w:r>
      <w:r>
        <w:rPr>
          <w:rFonts w:ascii="Times New Roman" w:cs="Times New Roman" w:eastAsia="Times New Roman" w:hAnsi="Times New Roman"/>
          <w:color w:val="000000"/>
        </w:rPr>
        <w:t xml:space="preserve">. IFRS Foundation.</w:t>
      </w:r>
    </w:p>
    <w:p>
      <w:pPr>
        <w:spacing w:after="120" w:line="276"/>
        <w:ind w:left="720" w:hanging="720"/>
      </w:pPr>
      <w:r>
        <w:rPr>
          <w:rFonts w:ascii="Times New Roman" w:cs="Times New Roman" w:eastAsia="Times New Roman" w:hAnsi="Times New Roman"/>
          <w:color w:val="000000"/>
        </w:rPr>
        <w:t xml:space="preserve">PostgreSQL Global Development Group. (2024). </w:t>
      </w: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PostgreSQL 16 documentation</w:t>
      </w:r>
      <w:r>
        <w:rPr>
          <w:rFonts w:ascii="Times New Roman" w:cs="Times New Roman" w:eastAsia="Times New Roman" w:hAnsi="Times New Roman"/>
          <w:color w:val="000000"/>
        </w:rPr>
        <w:t xml:space="preserve">. https://www.postgresql.org/docs/16/</w:t>
      </w:r>
    </w:p>
    <w:p>
      <w:pPr>
        <w:spacing w:after="120" w:line="276"/>
        <w:ind w:left="720" w:hanging="720"/>
      </w:pPr>
      <w:r>
        <w:rPr>
          <w:rFonts w:ascii="Times New Roman" w:cs="Times New Roman" w:eastAsia="Times New Roman" w:hAnsi="Times New Roman"/>
          <w:color w:val="000000"/>
        </w:rPr>
        <w:t xml:space="preserve">RabbitMQ. (2024). </w:t>
      </w: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Time-to-live and expiration; Dead letter exchanges</w:t>
      </w:r>
      <w:r>
        <w:rPr>
          <w:rFonts w:ascii="Times New Roman" w:cs="Times New Roman" w:eastAsia="Times New Roman" w:hAnsi="Times New Roman"/>
          <w:color w:val="000000"/>
        </w:rPr>
        <w:t xml:space="preserve">. https://www.rabbitmq.com/docs/ttl</w:t>
      </w:r>
    </w:p>
    <w:p>
      <w:pPr>
        <w:spacing w:after="120" w:line="276"/>
        <w:ind w:left="720" w:hanging="720"/>
      </w:pPr>
      <w:r>
        <w:rPr>
          <w:rFonts w:ascii="Times New Roman" w:cs="Times New Roman" w:eastAsia="Times New Roman" w:hAnsi="Times New Roman"/>
          <w:color w:val="000000"/>
        </w:rPr>
        <w:t xml:space="preserve">Richardson, C. (2018). </w:t>
      </w: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Microservices patterns: With examples in Java</w:t>
      </w:r>
      <w:r>
        <w:rPr>
          <w:rFonts w:ascii="Times New Roman" w:cs="Times New Roman" w:eastAsia="Times New Roman" w:hAnsi="Times New Roman"/>
          <w:color w:val="000000"/>
        </w:rPr>
        <w:t xml:space="preserve">. Manning.</w:t>
      </w:r>
    </w:p>
    <w:p>
      <w:pPr>
        <w:spacing w:after="120" w:line="276"/>
        <w:ind w:left="720" w:hanging="720"/>
      </w:pPr>
      <w:r>
        <w:rPr>
          <w:rFonts w:ascii="Times New Roman" w:cs="Times New Roman" w:eastAsia="Times New Roman" w:hAnsi="Times New Roman"/>
          <w:color w:val="000000"/>
        </w:rPr>
        <w:t xml:space="preserve">Silver, E. A., Pyke, D. F., y Thomas, D. J. (2017). </w:t>
      </w: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Inventory and production management in supply chains</w:t>
      </w:r>
      <w:r>
        <w:rPr>
          <w:rFonts w:ascii="Times New Roman" w:cs="Times New Roman" w:eastAsia="Times New Roman" w:hAnsi="Times New Roman"/>
          <w:color w:val="000000"/>
        </w:rPr>
        <w:t xml:space="preserve"> (4.ª ed.). CRC Press.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56d8e2811fa3dc4cd8d101ed2fe810e29251e07.png"/><Relationship Id="rId9" Type="http://schemas.openxmlformats.org/officeDocument/2006/relationships/image" Target="media/87cfa1ffd3b6a8d3146d0668373b7056ec92437f.png"/><Relationship Id="rId10" Type="http://schemas.openxmlformats.org/officeDocument/2006/relationships/image" Target="media/2f6584e9b90b11dd99e82ac9f8d06cebd98a8bd9.png"/><Relationship Id="rId11" Type="http://schemas.openxmlformats.org/officeDocument/2006/relationships/image" Target="media/45e1f8883a9614d0e77dc380af7a20b6c0bff2f2.png"/><Relationship Id="rId12" Type="http://schemas.openxmlformats.org/officeDocument/2006/relationships/image" Target="media/654abd4ba5d05407624af44d51f31428c23d6fd8.png"/><Relationship Id="rId13" Type="http://schemas.openxmlformats.org/officeDocument/2006/relationships/image" Target="media/fb61053e5763bfbdf6fb7c306f537d9e63413b67.png"/><Relationship Id="rId14" Type="http://schemas.openxmlformats.org/officeDocument/2006/relationships/image" Target="media/f5b522961886e00899f32a739b6954525cd99a33.png"/><Relationship Id="rId15" Type="http://schemas.openxmlformats.org/officeDocument/2006/relationships/image" Target="media/3c6445a5e8a3626a97b2febd62b0c5f4ada6c5ef.png"/><Relationship Id="rId16" Type="http://schemas.openxmlformats.org/officeDocument/2006/relationships/image" Target="media/0044beba4fdb3e7d36da84cc7965019b07a3b4f9.png"/><Relationship Id="rId17" Type="http://schemas.openxmlformats.org/officeDocument/2006/relationships/image" Target="media/d5e9c539ed33e4c82e966ae7c3af5beee2780f44.png"/><Relationship Id="rId18" Type="http://schemas.openxmlformats.org/officeDocument/2006/relationships/image" Target="media/82948a66e651a08f8e3eaf1283df2386cf2c2301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DE DESARROLLO DEL SISTEMA DE INVENTARIOS MRO</dc:title>
  <dc:creator>Tatiana Aramayo, Ariana Cordero, Patricia Quisbert y Melany Sonco</dc:creator>
  <cp:lastModifiedBy>Un-named</cp:lastModifiedBy>
  <cp:revision>1</cp:revision>
  <dcterms:created xsi:type="dcterms:W3CDTF">2026-10-21T17:32:45.157Z</dcterms:created>
  <dcterms:modified xsi:type="dcterms:W3CDTF">2026-10-21T17:32:45.157Z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