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28"/>
          <w:szCs w:val="28"/>
        </w:rPr>
        <w:t xml:space="preserve">PROPUESTA TECNOLÓGICA</w:t>
      </w:r>
    </w:p>
    <w:p>
      <w:pPr>
        <w:spacing w:after="120"/>
        <w:jc w:val="center"/>
      </w:pPr>
      <w:r>
        <w:rPr>
          <w:rFonts w:ascii="Times New Roman" w:cs="Times New Roman" w:eastAsia="Times New Roman" w:hAnsi="Times New Roman"/>
          <w:b/>
          <w:bCs/>
          <w:color w:val="000000"/>
          <w:sz w:val="24"/>
          <w:szCs w:val="24"/>
        </w:rPr>
        <w:t xml:space="preserve">Caso de estudio: YPFB Transporte S.A.</w:t>
      </w:r>
    </w:p>
    <w:p>
      <w:pPr>
        <w:spacing w:after="200"/>
        <w:jc w:val="center"/>
      </w:pPr>
      <w:r>
        <w:rPr>
          <w:rFonts w:ascii="Times New Roman" w:cs="Times New Roman" w:eastAsia="Times New Roman" w:hAnsi="Times New Roman"/>
          <w:color w:val="000000"/>
          <w:sz w:val="24"/>
          <w:szCs w:val="24"/>
        </w:rPr>
        <w:t xml:space="preserve">Arquitectura del sistema de trazabilidad para el mantenimiento de equipos y camiones</w:t>
      </w:r>
    </w:p>
    <w:p>
      <w:pPr>
        <w:spacing w:after="40"/>
        <w:jc w:val="center"/>
      </w:pPr>
      <w:r>
        <w:rPr>
          <w:rFonts w:ascii="Times New Roman" w:cs="Times New Roman" w:eastAsia="Times New Roman" w:hAnsi="Times New Roman"/>
          <w:color w:val="000000"/>
          <w:sz w:val="24"/>
          <w:szCs w:val="24"/>
        </w:rPr>
        <w:t xml:space="preserve">Tatiana Aramayo, Ariana Cordero, Patricia Quisbert y Melany Sonco</w:t>
      </w:r>
    </w:p>
    <w:p>
      <w:pPr>
        <w:spacing w:after="40"/>
        <w:jc w:val="center"/>
      </w:pPr>
      <w:r>
        <w:rPr>
          <w:rFonts w:ascii="Times New Roman" w:cs="Times New Roman" w:eastAsia="Times New Roman" w:hAnsi="Times New Roman"/>
          <w:color w:val="000000"/>
          <w:sz w:val="22"/>
          <w:szCs w:val="22"/>
        </w:rPr>
        <w:t xml:space="preserve">Sistemas de Información Gerencial · Facultad de Ingenierías y Arquitectura · Universidad Privada Boliviana</w:t>
      </w:r>
    </w:p>
    <w:p>
      <w:pPr>
        <w:spacing w:after="360"/>
        <w:jc w:val="center"/>
      </w:pPr>
      <w:r>
        <w:rPr>
          <w:rFonts w:ascii="Times New Roman" w:cs="Times New Roman" w:eastAsia="Times New Roman" w:hAnsi="Times New Roman"/>
          <w:color w:val="000000"/>
          <w:sz w:val="22"/>
          <w:szCs w:val="22"/>
        </w:rPr>
        <w:t xml:space="preserve">Octubre de 2026</w:t>
      </w:r>
    </w:p>
    <w:p>
      <w:pPr>
        <w:pStyle w:val="Heading1"/>
      </w:pPr>
      <w:r>
        <w:rPr>
          <w:rFonts w:ascii="Times New Roman" w:cs="Times New Roman" w:eastAsia="Times New Roman" w:hAnsi="Times New Roman"/>
          <w:b/>
          <w:bCs/>
          <w:color w:val="000000"/>
        </w:rPr>
        <w:t xml:space="preserve">1. Introducción</w:t>
      </w:r>
    </w:p>
    <w:p>
      <w:pPr>
        <w:spacing w:after="120" w:line="276"/>
        <w:jc w:val="both"/>
      </w:pPr>
      <w:r>
        <w:rPr>
          <w:rFonts w:ascii="Times New Roman" w:cs="Times New Roman" w:eastAsia="Times New Roman" w:hAnsi="Times New Roman"/>
          <w:color w:val="000000"/>
        </w:rPr>
        <w:t xml:space="preserve">Este documento presenta la propuesta tecnológica del sistema de trazabilidad para el mantenimiento de equipos y camiones. La arquitectura responde a la fase conceptual y a la propuesta funcional, y se describe con dos herramientas complementarias: un diagrama tecnológico en tres capas, que muestra cómo se organiza el software, y el modelo C4 (Brown, s.f.), que muestra el sistema en tres niveles de detalle: contexto, contenedores y componentes. Al final se justifican las decisiones de arquitectura adoptadas.</w:t>
      </w:r>
    </w:p>
    <w:p>
      <w:pPr>
        <w:pStyle w:val="Heading1"/>
      </w:pPr>
      <w:r>
        <w:rPr>
          <w:rFonts w:ascii="Times New Roman" w:cs="Times New Roman" w:eastAsia="Times New Roman" w:hAnsi="Times New Roman"/>
          <w:b/>
          <w:bCs/>
          <w:color w:val="000000"/>
        </w:rPr>
        <w:t xml:space="preserve">2. Arquitectura en tres capas</w:t>
      </w:r>
    </w:p>
    <w:p>
      <w:pPr>
        <w:spacing w:after="120" w:line="276"/>
        <w:jc w:val="both"/>
      </w:pPr>
      <w:r>
        <w:rPr>
          <w:rFonts w:ascii="Times New Roman" w:cs="Times New Roman" w:eastAsia="Times New Roman" w:hAnsi="Times New Roman"/>
          <w:color w:val="000000"/>
        </w:rPr>
        <w:t xml:space="preserve">La solución sigue una arquitectura de tres capas: presentación (frontend), lógica (backend) y datos. Cada capa cumple una función propia y solo se comunica con la capa contigua, de modo que un cambio en las pantallas no obliga a modificar las reglas del proceso ni la base de datos. La figura 1 presenta el diagrama tecnológico y la tabla 1 resume cada capa.</w:t>
      </w:r>
    </w:p>
    <w:p>
      <w:pPr>
        <w:spacing w:after="120" w:line="276"/>
        <w:jc w:val="both"/>
      </w:pPr>
      <w:r>
        <w:rPr>
          <w:rFonts w:ascii="Times New Roman" w:cs="Times New Roman" w:eastAsia="Times New Roman" w:hAnsi="Times New Roman"/>
          <w:color w:val="000000"/>
        </w:rPr>
        <w:t xml:space="preserve">La capa de presentación reúne lo que ve cada usuario. Los técnicos, el personal de almacén, los compradores y los supervisores usan una aplicación web adaptable, desarrollada en React, que funciona en computadora y en la tableta ubicada en la ventanilla del almacén. Un servidor web en la nube publica la aplicación por HTTPS. El tablero gerencial en Power BI corresponde a la tercera fase del proyecto y queda fuera del alcance de esta etapa, como establece la fase conceptual; se representa con línea punteada solo para mostrar dónde se conectará.</w:t>
      </w:r>
    </w:p>
    <w:p>
      <w:pPr>
        <w:spacing w:after="120" w:line="276"/>
        <w:jc w:val="both"/>
      </w:pPr>
      <w:r>
        <w:rPr>
          <w:rFonts w:ascii="Times New Roman" w:cs="Times New Roman" w:eastAsia="Times New Roman" w:hAnsi="Times New Roman"/>
          <w:color w:val="000000"/>
        </w:rPr>
        <w:t xml:space="preserve">La capa lógica, desarrollada en Node.js con el marco de trabajo Express, se compone de dos piezas. La </w:t>
      </w:r>
      <w:r>
        <w:rPr>
          <w:rFonts w:ascii="Times New Roman" w:cs="Times New Roman" w:eastAsia="Times New Roman" w:hAnsi="Times New Roman"/>
          <w:b/>
          <w:bCs/>
          <w:color w:val="000000"/>
        </w:rPr>
        <w:t xml:space="preserve">API de negocio</w:t>
      </w:r>
      <w:r>
        <w:rPr>
          <w:rFonts w:ascii="Times New Roman" w:cs="Times New Roman" w:eastAsia="Times New Roman" w:hAnsi="Times New Roman"/>
          <w:color w:val="000000"/>
        </w:rPr>
        <w:t xml:space="preserve"> concentra las reglas del proceso en siete componentes que cubren los nueve módulos de la propuesta funcional (tabla 2). El </w:t>
      </w:r>
      <w:r>
        <w:rPr>
          <w:rFonts w:ascii="Times New Roman" w:cs="Times New Roman" w:eastAsia="Times New Roman" w:hAnsi="Times New Roman"/>
          <w:b/>
          <w:bCs/>
          <w:color w:val="000000"/>
        </w:rPr>
        <w:t xml:space="preserve">trabajador de integración</w:t>
      </w:r>
      <w:r>
        <w:rPr>
          <w:rFonts w:ascii="Times New Roman" w:cs="Times New Roman" w:eastAsia="Times New Roman" w:hAnsi="Times New Roman"/>
          <w:color w:val="000000"/>
        </w:rPr>
        <w:t xml:space="preserve"> contiene el conector y es el único que se comunica con el WMS y el ERP: atiende la consulta síncrona de disponibilidad, transmite las operaciones pendientes, recibe los webhooks y ejecuta los procesos nocturnos de sincronización y conciliación. En la capa lógica se aplican las reglas de la fase conceptual, como no entregar un repuesto sin registrar su salida o no cerrar un mantenimiento con operaciones pendientes.</w:t>
      </w:r>
    </w:p>
    <w:p>
      <w:pPr>
        <w:spacing w:after="120" w:line="276"/>
        <w:jc w:val="both"/>
      </w:pPr>
      <w:r>
        <w:rPr>
          <w:rFonts w:ascii="Times New Roman" w:cs="Times New Roman" w:eastAsia="Times New Roman" w:hAnsi="Times New Roman"/>
          <w:color w:val="000000"/>
        </w:rPr>
        <w:t xml:space="preserve">La capa de datos utiliza PostgreSQL. Almacena las órdenes de mantenimiento, las reservas y movimientos con su estado de confirmación, las solicitudes de compra, el historial de cada equipo, la bandeja de operaciones pendientes, las incidencias, la bitácora y los datos maestros. Un broker de mensajes RabbitMQ implementa la cola de operaciones pendientes de la propuesta funcional, con reintentos y una cola para los mensajes que superan el límite. Se complementa con copias de seguridad diarias.</w:t>
      </w:r>
    </w:p>
    <w:p>
      <w:pPr>
        <w:spacing w:after="120" w:line="276"/>
        <w:jc w:val="both"/>
      </w:pPr>
      <w:r>
        <w:rPr>
          <w:rFonts w:ascii="Times New Roman" w:cs="Times New Roman" w:eastAsia="Times New Roman" w:hAnsi="Times New Roman"/>
          <w:color w:val="000000"/>
        </w:rPr>
        <w:t xml:space="preserve">La capa de presentación se comunica con la capa lógica mediante una API REST sobre HTTPS (Fielding, 2000), con acceso según el rol de cada usuario; la capa lógica se comunica con la de datos mediante SQL y transacciones ACID. Fuera de las tres capas se encuentran los sistemas que la empresa ya utiliza, el WMS del almacén y el ERP de compras, a los que la solución se conecta mediante servicios web sin reemplazarlos. En condiciones normales, cada operación se informa al WMS en 60 segundos o menos en 90 a 95 de cada 100 casos (RNF-01). Si la conexión falla, la operación queda pendiente en la cola y se reenvía automáticamente con el mismo identificador; además, se ejecuta una sincronización de respaldo cada 15 minutos hasta que la conexión se restablece (RNF-03). Por lo tanto, los 15 minutos no reemplazan la meta de 60 segundos: son el respaldo cuando la conexión no está disponible. El sistema, a su vez, no debe permanecer fuera de servicio más de cuatro horas al mes (RNF-02).</w:t>
      </w:r>
    </w:p>
    <w:p>
      <w:pPr>
        <w:keepNext/>
        <w:spacing w:after="0" w:before="200"/>
      </w:pPr>
      <w:r>
        <w:rPr>
          <w:rFonts w:ascii="Times New Roman" w:cs="Times New Roman" w:eastAsia="Times New Roman" w:hAnsi="Times New Roman"/>
          <w:b/>
          <w:bCs/>
          <w:color w:val="000000"/>
        </w:rPr>
        <w:t xml:space="preserve">Figura 1</w:t>
      </w:r>
    </w:p>
    <w:p>
      <w:pPr>
        <w:keepNext/>
        <w:spacing w:after="100"/>
      </w:pPr>
      <w:r>
        <w:rPr>
          <w:rFonts w:ascii="Times New Roman" w:cs="Times New Roman" w:eastAsia="Times New Roman" w:hAnsi="Times New Roman"/>
          <w:i/>
          <w:iCs/>
          <w:color w:val="000000"/>
        </w:rPr>
        <w:t xml:space="preserve">Diagrama tecnológico: tres capas y sistemas existentes</w:t>
      </w:r>
    </w:p>
    <w:p>
      <w:pPr>
        <w:keepNext/>
        <w:jc w:val="center"/>
      </w:pPr>
      <w:r>
        <w:drawing>
          <wp:inline distT="0" distB="0" distL="0" distR="0">
            <wp:extent cx="59436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400550"/>
                    </a:xfrm>
                    <a:prstGeom prst="rect">
                      <a:avLst/>
                    </a:prstGeom>
                  </pic:spPr>
                </pic:pic>
              </a:graphicData>
            </a:graphic>
          </wp:inline>
        </w:drawing>
      </w:r>
    </w:p>
    <w:p>
      <w:pPr>
        <w:spacing w:after="200"/>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 El tablero en Power BI (línea punteada) corresponde a la fase 3 del proyecto.</w:t>
      </w:r>
    </w:p>
    <w:p>
      <w:pPr>
        <w:keepNext/>
        <w:spacing w:after="0" w:before="200"/>
      </w:pPr>
      <w:r>
        <w:rPr>
          <w:rFonts w:ascii="Times New Roman" w:cs="Times New Roman" w:eastAsia="Times New Roman" w:hAnsi="Times New Roman"/>
          <w:b/>
          <w:bCs/>
          <w:color w:val="000000"/>
        </w:rPr>
        <w:t xml:space="preserve">Tabla 1</w:t>
      </w:r>
    </w:p>
    <w:p>
      <w:pPr>
        <w:keepNext/>
        <w:spacing w:after="100"/>
      </w:pPr>
      <w:r>
        <w:rPr>
          <w:rFonts w:ascii="Times New Roman" w:cs="Times New Roman" w:eastAsia="Times New Roman" w:hAnsi="Times New Roman"/>
          <w:i/>
          <w:iCs/>
          <w:color w:val="000000"/>
        </w:rPr>
        <w:t xml:space="preserve">Capas de la arquitectura propuesta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20"/>
        <w:gridCol w:w="3124"/>
        <w:gridCol w:w="1612"/>
        <w:gridCol w:w="3204"/>
      </w:tblGrid>
      <w:tr>
        <w:trPr>
          <w:cantSplit/>
          <w:tblHeader/>
        </w:trPr>
        <w:tc>
          <w:tcPr>
            <w:tcW w:type="dxa" w:w="14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Capa</w:t>
            </w:r>
          </w:p>
        </w:tc>
        <w:tc>
          <w:tcPr>
            <w:tcW w:type="dxa" w:w="31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Componentes</w:t>
            </w:r>
          </w:p>
        </w:tc>
        <w:tc>
          <w:tcPr>
            <w:tcW w:type="dxa" w:w="16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Tecnología</w:t>
            </w:r>
          </w:p>
        </w:tc>
        <w:tc>
          <w:tcPr>
            <w:tcW w:type="dxa" w:w="32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Comunicación</w:t>
            </w:r>
          </w:p>
        </w:tc>
      </w:tr>
      <w:tr>
        <w:trPr>
          <w:cantSplit/>
          <w:tblHeader w:val="off"/>
        </w:trPr>
        <w:tc>
          <w:tcPr>
            <w:tcW w:type="dxa" w:w="14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Presentación</w:t>
            </w:r>
          </w:p>
        </w:tc>
        <w:tc>
          <w:tcPr>
            <w:tcW w:type="dxa" w:w="31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Aplicación web; uso en tableta en la ventanilla del almacén</w:t>
            </w:r>
          </w:p>
        </w:tc>
        <w:tc>
          <w:tcPr>
            <w:tcW w:type="dxa" w:w="16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React</w:t>
            </w:r>
          </w:p>
        </w:tc>
        <w:tc>
          <w:tcPr>
            <w:tcW w:type="dxa" w:w="32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 la capa lógica mediante API REST sobre HTTPS, con usuarios por rol</w:t>
            </w:r>
          </w:p>
        </w:tc>
      </w:tr>
      <w:tr>
        <w:trPr>
          <w:cantSplit/>
          <w:tblHeader w:val="off"/>
        </w:trPr>
        <w:tc>
          <w:tcPr>
            <w:tcW w:type="dxa" w:w="14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Lógica</w:t>
            </w:r>
          </w:p>
        </w:tc>
        <w:tc>
          <w:tcPr>
            <w:tcW w:type="dxa" w:w="31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API de negocio (monolito modular de siete componentes) y trabajador de integración</w:t>
            </w:r>
          </w:p>
        </w:tc>
        <w:tc>
          <w:tcPr>
            <w:tcW w:type="dxa" w:w="16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Node.js con Express</w:t>
            </w:r>
          </w:p>
        </w:tc>
        <w:tc>
          <w:tcPr>
            <w:tcW w:type="dxa" w:w="32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 la capa de datos mediante SQL; con el WMS y el ERP mediante el trabajador de integración (REST, webhooks y procesos nocturnos)</w:t>
            </w:r>
          </w:p>
        </w:tc>
      </w:tr>
      <w:tr>
        <w:trPr>
          <w:cantSplit/>
          <w:tblHeader w:val="off"/>
        </w:trPr>
        <w:tc>
          <w:tcPr>
            <w:tcW w:type="dxa" w:w="14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Datos</w:t>
            </w:r>
          </w:p>
        </w:tc>
        <w:tc>
          <w:tcPr>
            <w:tcW w:type="dxa" w:w="31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Base de datos, datos maestros (MDM), bandeja de operaciones pendientes, bitácora y cola de mensajes</w:t>
            </w:r>
          </w:p>
        </w:tc>
        <w:tc>
          <w:tcPr>
            <w:tcW w:type="dxa" w:w="16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PostgreSQL y RabbitMQ</w:t>
            </w:r>
          </w:p>
        </w:tc>
        <w:tc>
          <w:tcPr>
            <w:tcW w:type="dxa" w:w="32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Transacciones ACID; mensajes con reintento</w:t>
            </w:r>
          </w:p>
        </w:tc>
      </w:tr>
    </w:tbl>
    <w:p>
      <w:pPr>
        <w:spacing w:after="120"/>
      </w:pPr>
    </w:p>
    <w:p>
      <w:pPr>
        <w:spacing w:after="120" w:line="276"/>
        <w:jc w:val="both"/>
      </w:pPr>
      <w:r>
        <w:rPr>
          <w:rFonts w:ascii="Times New Roman" w:cs="Times New Roman" w:eastAsia="Times New Roman" w:hAnsi="Times New Roman"/>
          <w:color w:val="000000"/>
        </w:rPr>
        <w:t xml:space="preserve">La plataforma se aloja en una nube pública con acuerdo de nivel de servicio y se empaqueta en contenedores Docker. En el prototipo académico, el WMS y el ERP se representan con servicios simulados.</w:t>
      </w:r>
    </w:p>
    <w:p>
      <w:pPr>
        <w:pStyle w:val="Heading2"/>
      </w:pPr>
      <w:r>
        <w:rPr>
          <w:rFonts w:ascii="Times New Roman" w:cs="Times New Roman" w:eastAsia="Times New Roman" w:hAnsi="Times New Roman"/>
          <w:b/>
          <w:bCs/>
          <w:color w:val="000000"/>
        </w:rPr>
        <w:t xml:space="preserve">2.1 Relación entre los módulos funcionales y los componentes técnicos</w:t>
      </w:r>
    </w:p>
    <w:p>
      <w:pPr>
        <w:spacing w:after="120" w:line="276"/>
        <w:jc w:val="both"/>
      </w:pPr>
      <w:r>
        <w:rPr>
          <w:rFonts w:ascii="Times New Roman" w:cs="Times New Roman" w:eastAsia="Times New Roman" w:hAnsi="Times New Roman"/>
          <w:color w:val="000000"/>
        </w:rPr>
        <w:t xml:space="preserve">Los nueve módulos de la propuesta funcional no requieren nueve programas separados. La tabla 2 muestra qué componente técnico implementa cada uno.</w:t>
      </w:r>
    </w:p>
    <w:p>
      <w:pPr>
        <w:keepNext/>
        <w:spacing w:after="0" w:before="200"/>
      </w:pPr>
      <w:r>
        <w:rPr>
          <w:rFonts w:ascii="Times New Roman" w:cs="Times New Roman" w:eastAsia="Times New Roman" w:hAnsi="Times New Roman"/>
          <w:b/>
          <w:bCs/>
          <w:color w:val="000000"/>
        </w:rPr>
        <w:t xml:space="preserve">Tabla 2</w:t>
      </w:r>
    </w:p>
    <w:p>
      <w:pPr>
        <w:keepNext/>
        <w:spacing w:after="100"/>
      </w:pPr>
      <w:r>
        <w:rPr>
          <w:rFonts w:ascii="Times New Roman" w:cs="Times New Roman" w:eastAsia="Times New Roman" w:hAnsi="Times New Roman"/>
          <w:i/>
          <w:iCs/>
          <w:color w:val="000000"/>
        </w:rPr>
        <w:t xml:space="preserve">Módulos funcionales y componente técnico que los implementa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4533"/>
        <w:gridCol w:w="2167"/>
      </w:tblGrid>
      <w:tr>
        <w:trPr>
          <w:cantSplit/>
          <w:tblHeader/>
        </w:trPr>
        <w:tc>
          <w:tcPr>
            <w:tcW w:type="dxa" w:w="26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Módulo funcional</w:t>
            </w:r>
          </w:p>
        </w:tc>
        <w:tc>
          <w:tcPr>
            <w:tcW w:type="dxa" w:w="45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Componente técnico</w:t>
            </w:r>
          </w:p>
        </w:tc>
        <w:tc>
          <w:tcPr>
            <w:tcW w:type="dxa" w:w="21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Contenedor</w:t>
            </w:r>
          </w:p>
        </w:tc>
      </w:tr>
      <w:tr>
        <w:trPr>
          <w:cantSplit/>
          <w:tblHeader w:val="off"/>
        </w:trPr>
        <w:tc>
          <w:tcPr>
            <w:tcW w:type="dxa" w:w="26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Datos maestros y configuración</w:t>
            </w:r>
          </w:p>
        </w:tc>
        <w:tc>
          <w:tcPr>
            <w:tcW w:type="dxa" w:w="45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Componente de catálogo</w:t>
            </w:r>
          </w:p>
        </w:tc>
        <w:tc>
          <w:tcPr>
            <w:tcW w:type="dxa" w:w="21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API de negocio</w:t>
            </w:r>
          </w:p>
        </w:tc>
      </w:tr>
      <w:tr>
        <w:trPr>
          <w:cantSplit/>
          <w:tblHeader w:val="off"/>
        </w:trPr>
        <w:tc>
          <w:tcPr>
            <w:tcW w:type="dxa" w:w="26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w:t>
            </w:r>
          </w:p>
        </w:tc>
        <w:tc>
          <w:tcPr>
            <w:tcW w:type="dxa" w:w="45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Componente de mantenimiento (incluye el cambio de pieza y el cierre)</w:t>
            </w:r>
          </w:p>
        </w:tc>
        <w:tc>
          <w:tcPr>
            <w:tcW w:type="dxa" w:w="21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API de negocio</w:t>
            </w:r>
          </w:p>
        </w:tc>
      </w:tr>
      <w:tr>
        <w:trPr>
          <w:cantSplit/>
          <w:tblHeader w:val="off"/>
        </w:trPr>
        <w:tc>
          <w:tcPr>
            <w:tcW w:type="dxa" w:w="26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Inventario y almacén</w:t>
            </w:r>
          </w:p>
        </w:tc>
        <w:tc>
          <w:tcPr>
            <w:tcW w:type="dxa" w:w="45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Componente de inventario y reservas</w:t>
            </w:r>
          </w:p>
        </w:tc>
        <w:tc>
          <w:tcPr>
            <w:tcW w:type="dxa" w:w="21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API de negocio</w:t>
            </w:r>
          </w:p>
        </w:tc>
      </w:tr>
      <w:tr>
        <w:trPr>
          <w:cantSplit/>
          <w:tblHeader w:val="off"/>
        </w:trPr>
        <w:tc>
          <w:tcPr>
            <w:tcW w:type="dxa" w:w="26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Compras y aprovisionamiento</w:t>
            </w:r>
          </w:p>
        </w:tc>
        <w:tc>
          <w:tcPr>
            <w:tcW w:type="dxa" w:w="45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Componente de compras y reposición (incluye la evaluación del punto de reorden)</w:t>
            </w:r>
          </w:p>
        </w:tc>
        <w:tc>
          <w:tcPr>
            <w:tcW w:type="dxa" w:w="21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API de negocio</w:t>
            </w:r>
          </w:p>
        </w:tc>
      </w:tr>
      <w:tr>
        <w:trPr>
          <w:cantSplit/>
          <w:tblHeader w:val="off"/>
        </w:trPr>
        <w:tc>
          <w:tcPr>
            <w:tcW w:type="dxa" w:w="26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Usuarios, roles y permisos</w:t>
            </w:r>
          </w:p>
        </w:tc>
        <w:tc>
          <w:tcPr>
            <w:tcW w:type="dxa" w:w="45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Componente de rutas y seguridad</w:t>
            </w:r>
          </w:p>
        </w:tc>
        <w:tc>
          <w:tcPr>
            <w:tcW w:type="dxa" w:w="21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API de negocio</w:t>
            </w:r>
          </w:p>
        </w:tc>
      </w:tr>
      <w:tr>
        <w:trPr>
          <w:cantSplit/>
          <w:tblHeader w:val="off"/>
        </w:trPr>
        <w:tc>
          <w:tcPr>
            <w:tcW w:type="dxa" w:w="26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Alertas y automatizaciones</w:t>
            </w:r>
          </w:p>
        </w:tc>
        <w:tc>
          <w:tcPr>
            <w:tcW w:type="dxa" w:w="45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Componente de alertas</w:t>
            </w:r>
          </w:p>
        </w:tc>
        <w:tc>
          <w:tcPr>
            <w:tcW w:type="dxa" w:w="21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API de negocio</w:t>
            </w:r>
          </w:p>
        </w:tc>
      </w:tr>
      <w:tr>
        <w:trPr>
          <w:cantSplit/>
          <w:tblHeader w:val="off"/>
        </w:trPr>
        <w:tc>
          <w:tcPr>
            <w:tcW w:type="dxa" w:w="26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Trazabilidad y auditoría</w:t>
            </w:r>
          </w:p>
        </w:tc>
        <w:tc>
          <w:tcPr>
            <w:tcW w:type="dxa" w:w="45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Componente de auditoría (bitácora)</w:t>
            </w:r>
          </w:p>
        </w:tc>
        <w:tc>
          <w:tcPr>
            <w:tcW w:type="dxa" w:w="21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API de negocio</w:t>
            </w:r>
          </w:p>
        </w:tc>
      </w:tr>
      <w:tr>
        <w:trPr>
          <w:cantSplit/>
          <w:tblHeader w:val="off"/>
        </w:trPr>
        <w:tc>
          <w:tcPr>
            <w:tcW w:type="dxa" w:w="26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Integración de sistemas y datos</w:t>
            </w:r>
          </w:p>
        </w:tc>
        <w:tc>
          <w:tcPr>
            <w:tcW w:type="dxa" w:w="45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Bandeja de salida y trabajador de integración</w:t>
            </w:r>
          </w:p>
        </w:tc>
        <w:tc>
          <w:tcPr>
            <w:tcW w:type="dxa" w:w="21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API de negocio y trabajador</w:t>
            </w:r>
          </w:p>
        </w:tc>
      </w:tr>
      <w:tr>
        <w:trPr>
          <w:cantSplit/>
          <w:tblHeader w:val="off"/>
        </w:trPr>
        <w:tc>
          <w:tcPr>
            <w:tcW w:type="dxa" w:w="26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Sincronización</w:t>
            </w:r>
          </w:p>
        </w:tc>
        <w:tc>
          <w:tcPr>
            <w:tcW w:type="dxa" w:w="45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Trabajador de integración y cola de mensajes</w:t>
            </w:r>
          </w:p>
        </w:tc>
        <w:tc>
          <w:tcPr>
            <w:tcW w:type="dxa" w:w="21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Trabajador y RabbitMQ</w:t>
            </w:r>
          </w:p>
        </w:tc>
      </w:tr>
    </w:tbl>
    <w:p>
      <w:pPr>
        <w:spacing w:after="120"/>
      </w:pPr>
    </w:p>
    <w:p>
      <w:pPr>
        <w:pStyle w:val="Heading1"/>
      </w:pPr>
      <w:r>
        <w:rPr>
          <w:rFonts w:ascii="Times New Roman" w:cs="Times New Roman" w:eastAsia="Times New Roman" w:hAnsi="Times New Roman"/>
          <w:b/>
          <w:bCs/>
          <w:color w:val="000000"/>
        </w:rPr>
        <w:t xml:space="preserve">3. Modelo C4</w:t>
      </w:r>
    </w:p>
    <w:p>
      <w:pPr>
        <w:spacing w:after="120" w:line="276"/>
        <w:jc w:val="both"/>
      </w:pPr>
      <w:r>
        <w:rPr>
          <w:rFonts w:ascii="Times New Roman" w:cs="Times New Roman" w:eastAsia="Times New Roman" w:hAnsi="Times New Roman"/>
          <w:color w:val="000000"/>
        </w:rPr>
        <w:t xml:space="preserve">El modelo C4 describe la arquitectura de un sistema de software en niveles sucesivos de detalle: contexto, contenedores, componentes y código (Brown, s.f.). Para esta propuesta se desarrollan los tres primeros niveles.</w:t>
      </w:r>
    </w:p>
    <w:p>
      <w:pPr>
        <w:pStyle w:val="Heading2"/>
      </w:pPr>
      <w:r>
        <w:rPr>
          <w:rFonts w:ascii="Times New Roman" w:cs="Times New Roman" w:eastAsia="Times New Roman" w:hAnsi="Times New Roman"/>
          <w:b/>
          <w:bCs/>
          <w:color w:val="000000"/>
        </w:rPr>
        <w:t xml:space="preserve">3.1 Nivel 1: diagrama de contexto</w:t>
      </w:r>
    </w:p>
    <w:p>
      <w:pPr>
        <w:spacing w:after="120" w:line="276"/>
        <w:jc w:val="both"/>
      </w:pPr>
      <w:r>
        <w:rPr>
          <w:rFonts w:ascii="Times New Roman" w:cs="Times New Roman" w:eastAsia="Times New Roman" w:hAnsi="Times New Roman"/>
          <w:color w:val="000000"/>
        </w:rPr>
        <w:t xml:space="preserve">El diagrama de contexto (figura 2) presenta el sistema como una sola unidad y muestra quién lo utiliza y con qué sistemas se relaciona. Lo usan cinco tipos de usuarios: el técnico de mantenimiento, que crea órdenes y registra los cambios de pieza; el personal de almacén, que reserva, entrega y registra las salidas en la tableta; el comprador, que aprueba las solicitudes de compra y sigue las órdenes; el supervisor y la Gerencia, que aprueban, cierran y consultan el estado; y Control Interno, que audita la bitácora. El sistema se relaciona con tres sistemas existentes: el WMS, para consultar el stock y confirmar reservas y salidas; el ERP, para enviar las solicitudes aprobadas y seguir las órdenes de compra; y el correo institucional, por el que envía las alertas.</w:t>
      </w:r>
    </w:p>
    <w:p>
      <w:pPr>
        <w:keepNext/>
        <w:spacing w:after="0" w:before="200"/>
      </w:pPr>
      <w:r>
        <w:rPr>
          <w:rFonts w:ascii="Times New Roman" w:cs="Times New Roman" w:eastAsia="Times New Roman" w:hAnsi="Times New Roman"/>
          <w:b/>
          <w:bCs/>
          <w:color w:val="000000"/>
        </w:rPr>
        <w:t xml:space="preserve">Figura 2</w:t>
      </w:r>
    </w:p>
    <w:p>
      <w:pPr>
        <w:keepNext/>
        <w:spacing w:after="100"/>
      </w:pPr>
      <w:r>
        <w:rPr>
          <w:rFonts w:ascii="Times New Roman" w:cs="Times New Roman" w:eastAsia="Times New Roman" w:hAnsi="Times New Roman"/>
          <w:i/>
          <w:iCs/>
          <w:color w:val="000000"/>
        </w:rPr>
        <w:t xml:space="preserve">Modelo C4, nivel 1: diagrama de contexto</w:t>
      </w:r>
    </w:p>
    <w:p>
      <w:pPr>
        <w:keepNext/>
        <w:jc w:val="center"/>
      </w:pPr>
      <w:r>
        <w:drawing>
          <wp:inline distT="0" distB="0" distL="0" distR="0">
            <wp:extent cx="5943600" cy="36290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629025"/>
                    </a:xfrm>
                    <a:prstGeom prst="rect">
                      <a:avLst/>
                    </a:prstGeom>
                  </pic:spPr>
                </pic:pic>
              </a:graphicData>
            </a:graphic>
          </wp:inline>
        </w:drawing>
      </w:r>
    </w:p>
    <w:p>
      <w:pPr>
        <w:spacing w:after="200"/>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w:t>
      </w:r>
    </w:p>
    <w:p>
      <w:pPr>
        <w:pStyle w:val="Heading2"/>
      </w:pPr>
      <w:r>
        <w:rPr>
          <w:rFonts w:ascii="Times New Roman" w:cs="Times New Roman" w:eastAsia="Times New Roman" w:hAnsi="Times New Roman"/>
          <w:b/>
          <w:bCs/>
          <w:color w:val="000000"/>
        </w:rPr>
        <w:t xml:space="preserve">3.2 Nivel 2: diagrama de contenedores</w:t>
      </w:r>
    </w:p>
    <w:p>
      <w:pPr>
        <w:spacing w:after="120" w:line="276"/>
        <w:jc w:val="both"/>
      </w:pPr>
      <w:r>
        <w:rPr>
          <w:rFonts w:ascii="Times New Roman" w:cs="Times New Roman" w:eastAsia="Times New Roman" w:hAnsi="Times New Roman"/>
          <w:color w:val="000000"/>
        </w:rPr>
        <w:t xml:space="preserve">El diagrama de contenedores (figura 3) muestra las piezas que componen el sistema y la tecnología de cada una. La tabla 3 resume su responsabilidad. La API de negocio es el único contenedor que modifica órdenes, reservas y solicitudes; el trabajador de integración es el único que se comunica con el WMS y el ERP.</w:t>
      </w:r>
    </w:p>
    <w:p>
      <w:pPr>
        <w:keepNext/>
        <w:spacing w:after="0" w:before="200"/>
      </w:pPr>
      <w:r>
        <w:rPr>
          <w:rFonts w:ascii="Times New Roman" w:cs="Times New Roman" w:eastAsia="Times New Roman" w:hAnsi="Times New Roman"/>
          <w:b/>
          <w:bCs/>
          <w:color w:val="000000"/>
        </w:rPr>
        <w:t xml:space="preserve">Figura 3</w:t>
      </w:r>
    </w:p>
    <w:p>
      <w:pPr>
        <w:keepNext/>
        <w:spacing w:after="100"/>
      </w:pPr>
      <w:r>
        <w:rPr>
          <w:rFonts w:ascii="Times New Roman" w:cs="Times New Roman" w:eastAsia="Times New Roman" w:hAnsi="Times New Roman"/>
          <w:i/>
          <w:iCs/>
          <w:color w:val="000000"/>
        </w:rPr>
        <w:t xml:space="preserve">Modelo C4, nivel 2: diagrama de contenedores</w:t>
      </w:r>
    </w:p>
    <w:p>
      <w:pPr>
        <w:keepNext/>
        <w:jc w:val="center"/>
      </w:pPr>
      <w:r>
        <w:drawing>
          <wp:inline distT="0" distB="0" distL="0" distR="0">
            <wp:extent cx="5943600" cy="39147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14775"/>
                    </a:xfrm>
                    <a:prstGeom prst="rect">
                      <a:avLst/>
                    </a:prstGeom>
                  </pic:spPr>
                </pic:pic>
              </a:graphicData>
            </a:graphic>
          </wp:inline>
        </w:drawing>
      </w:r>
    </w:p>
    <w:p>
      <w:pPr>
        <w:spacing w:after="200"/>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w:t>
      </w:r>
    </w:p>
    <w:p>
      <w:pPr>
        <w:keepNext/>
        <w:spacing w:after="0" w:before="200"/>
      </w:pPr>
      <w:r>
        <w:rPr>
          <w:rFonts w:ascii="Times New Roman" w:cs="Times New Roman" w:eastAsia="Times New Roman" w:hAnsi="Times New Roman"/>
          <w:b/>
          <w:bCs/>
          <w:color w:val="000000"/>
        </w:rPr>
        <w:t xml:space="preserve">Tabla 3</w:t>
      </w:r>
    </w:p>
    <w:p>
      <w:pPr>
        <w:keepNext/>
        <w:spacing w:after="100"/>
      </w:pPr>
      <w:r>
        <w:rPr>
          <w:rFonts w:ascii="Times New Roman" w:cs="Times New Roman" w:eastAsia="Times New Roman" w:hAnsi="Times New Roman"/>
          <w:i/>
          <w:iCs/>
          <w:color w:val="000000"/>
        </w:rPr>
        <w:t xml:space="preserve">Contenedores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1"/>
        <w:gridCol w:w="1638"/>
        <w:gridCol w:w="3088"/>
        <w:gridCol w:w="2973"/>
      </w:tblGrid>
      <w:tr>
        <w:trPr>
          <w:cantSplit/>
          <w:tblHeader/>
        </w:trPr>
        <w:tc>
          <w:tcPr>
            <w:tcW w:type="dxa" w:w="16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Contenedor</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Tecnología</w:t>
            </w:r>
          </w:p>
        </w:tc>
        <w:tc>
          <w:tcPr>
            <w:tcW w:type="dxa" w:w="3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Responsabilidad</w:t>
            </w:r>
          </w:p>
        </w:tc>
        <w:tc>
          <w:tcPr>
            <w:tcW w:type="dxa" w:w="29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Se comunica con</w:t>
            </w:r>
          </w:p>
        </w:tc>
      </w:tr>
      <w:tr>
        <w:trPr>
          <w:cantSplit/>
          <w:tblHeader w:val="off"/>
        </w:trPr>
        <w:tc>
          <w:tcPr>
            <w:tcW w:type="dxa" w:w="16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Aplicación web</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React</w:t>
            </w:r>
          </w:p>
        </w:tc>
        <w:tc>
          <w:tcPr>
            <w:tcW w:type="dxa" w:w="3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Pantallas de órdenes, reservas, entregas, compras, alertas e incidencias, adaptables a tableta</w:t>
            </w:r>
          </w:p>
        </w:tc>
        <w:tc>
          <w:tcPr>
            <w:tcW w:type="dxa" w:w="29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API de negocio (JSON sobre HTTPS)</w:t>
            </w:r>
          </w:p>
        </w:tc>
      </w:tr>
      <w:tr>
        <w:trPr>
          <w:cantSplit/>
          <w:tblHeader w:val="off"/>
        </w:trPr>
        <w:tc>
          <w:tcPr>
            <w:tcW w:type="dxa" w:w="16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API de negocio</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Node.js, monolito modular</w:t>
            </w:r>
          </w:p>
        </w:tc>
        <w:tc>
          <w:tcPr>
            <w:tcW w:type="dxa" w:w="3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Reglas del proceso, órdenes, reservas, cambios de pieza, solicitudes de compra y alertas</w:t>
            </w:r>
          </w:p>
        </w:tc>
        <w:tc>
          <w:tcPr>
            <w:tcW w:type="dxa" w:w="29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Base de datos (SQL) y trabajador de integración (consulta de disponibilidad)</w:t>
            </w:r>
          </w:p>
        </w:tc>
      </w:tr>
      <w:tr>
        <w:trPr>
          <w:cantSplit/>
          <w:tblHeader w:val="off"/>
        </w:trPr>
        <w:tc>
          <w:tcPr>
            <w:tcW w:type="dxa" w:w="16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Base de datos</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PostgreSQL</w:t>
            </w:r>
          </w:p>
        </w:tc>
        <w:tc>
          <w:tcPr>
            <w:tcW w:type="dxa" w:w="3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Órdenes, movimientos, solicitudes, historial, datos maestros, bandeja de salida, incidencias y bitácora</w:t>
            </w:r>
          </w:p>
        </w:tc>
        <w:tc>
          <w:tcPr>
            <w:tcW w:type="dxa" w:w="29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API de negocio y trabajador de integración</w:t>
            </w:r>
          </w:p>
        </w:tc>
      </w:tr>
      <w:tr>
        <w:trPr>
          <w:cantSplit/>
          <w:tblHeader w:val="off"/>
        </w:trPr>
        <w:tc>
          <w:tcPr>
            <w:tcW w:type="dxa" w:w="16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Broker de mensajes</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RabbitMQ</w:t>
            </w:r>
          </w:p>
        </w:tc>
        <w:tc>
          <w:tcPr>
            <w:tcW w:type="dxa" w:w="3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Cola de operaciones pendientes, reintentos y mensajes fallidos</w:t>
            </w:r>
          </w:p>
        </w:tc>
        <w:tc>
          <w:tcPr>
            <w:tcW w:type="dxa" w:w="29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Trabajador de integración</w:t>
            </w:r>
          </w:p>
        </w:tc>
      </w:tr>
      <w:tr>
        <w:trPr>
          <w:cantSplit/>
          <w:tblHeader w:val="off"/>
        </w:trPr>
        <w:tc>
          <w:tcPr>
            <w:tcW w:type="dxa" w:w="16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Trabajador de integración</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Node.js</w:t>
            </w:r>
          </w:p>
        </w:tc>
        <w:tc>
          <w:tcPr>
            <w:tcW w:type="dxa" w:w="3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Envía operaciones al WMS y al ERP, recibe webhooks, sincroniza catálogos y concilia movimientos</w:t>
            </w:r>
          </w:p>
        </w:tc>
        <w:tc>
          <w:tcPr>
            <w:tcW w:type="dxa" w:w="29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Base de datos, RabbitMQ, WMS, ERP y correo (SMTP)</w:t>
            </w:r>
          </w:p>
        </w:tc>
      </w:tr>
      <w:tr>
        <w:trPr>
          <w:cantSplit/>
          <w:tblHeader w:val="off"/>
        </w:trPr>
        <w:tc>
          <w:tcPr>
            <w:tcW w:type="dxa" w:w="16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Tablero gerencial (fase 3)</w:t>
            </w:r>
          </w:p>
        </w:tc>
        <w:tc>
          <w:tcPr>
            <w:tcW w:type="dxa" w:w="16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Power BI</w:t>
            </w:r>
          </w:p>
        </w:tc>
        <w:tc>
          <w:tcPr>
            <w:tcW w:type="dxa" w:w="3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Indicadores de la fase 3, solo lectura</w:t>
            </w:r>
          </w:p>
        </w:tc>
        <w:tc>
          <w:tcPr>
            <w:tcW w:type="dxa" w:w="29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Vista de solo lectura de la base de datos</w:t>
            </w:r>
          </w:p>
        </w:tc>
      </w:tr>
    </w:tbl>
    <w:p>
      <w:pPr>
        <w:spacing w:after="120"/>
      </w:pPr>
    </w:p>
    <w:p>
      <w:pPr>
        <w:pStyle w:val="Heading2"/>
      </w:pPr>
      <w:r>
        <w:rPr>
          <w:rFonts w:ascii="Times New Roman" w:cs="Times New Roman" w:eastAsia="Times New Roman" w:hAnsi="Times New Roman"/>
          <w:b/>
          <w:bCs/>
          <w:color w:val="000000"/>
        </w:rPr>
        <w:t xml:space="preserve">3.3 Nivel 3: diagrama de componentes</w:t>
      </w:r>
    </w:p>
    <w:p>
      <w:pPr>
        <w:spacing w:after="120" w:line="276"/>
        <w:jc w:val="both"/>
      </w:pPr>
      <w:r>
        <w:rPr>
          <w:rFonts w:ascii="Times New Roman" w:cs="Times New Roman" w:eastAsia="Times New Roman" w:hAnsi="Times New Roman"/>
          <w:color w:val="000000"/>
        </w:rPr>
        <w:t xml:space="preserve">El diagrama de componentes (figura 4) detalla la API de negocio. Las rutas REST aplican la seguridad por rol; los componentes de mantenimiento, inventario y compras contienen las reglas del proceso; el catálogo, las alertas y la auditoría son servicios comunes; y cada componente guarda sus datos y su evento de salida en la misma transacción, para que el trabajador de integración los transmita.</w:t>
      </w:r>
    </w:p>
    <w:p>
      <w:pPr>
        <w:keepNext/>
        <w:spacing w:after="0" w:before="200"/>
      </w:pPr>
      <w:r>
        <w:rPr>
          <w:rFonts w:ascii="Times New Roman" w:cs="Times New Roman" w:eastAsia="Times New Roman" w:hAnsi="Times New Roman"/>
          <w:b/>
          <w:bCs/>
          <w:color w:val="000000"/>
        </w:rPr>
        <w:t xml:space="preserve">Figura 4</w:t>
      </w:r>
    </w:p>
    <w:p>
      <w:pPr>
        <w:keepNext/>
        <w:spacing w:after="100"/>
      </w:pPr>
      <w:r>
        <w:rPr>
          <w:rFonts w:ascii="Times New Roman" w:cs="Times New Roman" w:eastAsia="Times New Roman" w:hAnsi="Times New Roman"/>
          <w:i/>
          <w:iCs/>
          <w:color w:val="000000"/>
        </w:rPr>
        <w:t xml:space="preserve">Modelo C4, nivel 3: componentes de la API de negocio</w:t>
      </w:r>
    </w:p>
    <w:p>
      <w:pPr>
        <w:keepNext/>
        <w:jc w:val="center"/>
      </w:pPr>
      <w:r>
        <w:drawing>
          <wp:inline distT="0" distB="0" distL="0" distR="0">
            <wp:extent cx="5943600" cy="46863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686300"/>
                    </a:xfrm>
                    <a:prstGeom prst="rect">
                      <a:avLst/>
                    </a:prstGeom>
                  </pic:spPr>
                </pic:pic>
              </a:graphicData>
            </a:graphic>
          </wp:inline>
        </w:drawing>
      </w:r>
    </w:p>
    <w:p>
      <w:pPr>
        <w:spacing w:after="200"/>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w:t>
      </w:r>
    </w:p>
    <w:p>
      <w:pPr>
        <w:pStyle w:val="Heading1"/>
      </w:pPr>
      <w:r>
        <w:rPr>
          <w:rFonts w:ascii="Times New Roman" w:cs="Times New Roman" w:eastAsia="Times New Roman" w:hAnsi="Times New Roman"/>
          <w:b/>
          <w:bCs/>
          <w:color w:val="000000"/>
        </w:rPr>
        <w:t xml:space="preserve">4. Decisiones de arquitectura</w:t>
      </w:r>
    </w:p>
    <w:p>
      <w:pPr>
        <w:pStyle w:val="Heading2"/>
      </w:pPr>
      <w:r>
        <w:rPr>
          <w:rFonts w:ascii="Times New Roman" w:cs="Times New Roman" w:eastAsia="Times New Roman" w:hAnsi="Times New Roman"/>
          <w:b/>
          <w:bCs/>
          <w:color w:val="000000"/>
        </w:rPr>
        <w:t xml:space="preserve">4.1 Fuente única de verdad</w:t>
      </w:r>
    </w:p>
    <w:p>
      <w:pPr>
        <w:spacing w:after="120" w:line="276"/>
        <w:jc w:val="both"/>
      </w:pPr>
      <w:r>
        <w:rPr>
          <w:rFonts w:ascii="Times New Roman" w:cs="Times New Roman" w:eastAsia="Times New Roman" w:hAnsi="Times New Roman"/>
          <w:color w:val="000000"/>
        </w:rPr>
        <w:t xml:space="preserve">Cada dato tiene un solo sistema responsable, para evitar que dos sistemas muestren valores distintos del mismo repuesto. La tabla 4 indica el dueño de cada tipo de dato. Además, los códigos de repuestos, equipos y proveedores provienen de un único catálogo maestro (MDM), de modo que el WMS, el ERP y el nuevo sistema se refieren al mismo repuesto con el mismo código. El nuevo sistema no reemplaza al WMS ni crea un segundo inventario: el WMS sigue siendo la fuente oficial del stock, mientras que la solución registra las reservas, su estado de confirmación y la relación de cada salida con el mantenimiento correspondiente.</w:t>
      </w:r>
    </w:p>
    <w:p>
      <w:pPr>
        <w:keepNext/>
        <w:spacing w:after="0" w:before="200"/>
      </w:pPr>
      <w:r>
        <w:rPr>
          <w:rFonts w:ascii="Times New Roman" w:cs="Times New Roman" w:eastAsia="Times New Roman" w:hAnsi="Times New Roman"/>
          <w:b/>
          <w:bCs/>
          <w:color w:val="000000"/>
        </w:rPr>
        <w:t xml:space="preserve">Tabla 4</w:t>
      </w:r>
    </w:p>
    <w:p>
      <w:pPr>
        <w:keepNext/>
        <w:spacing w:after="100"/>
      </w:pPr>
      <w:r>
        <w:rPr>
          <w:rFonts w:ascii="Times New Roman" w:cs="Times New Roman" w:eastAsia="Times New Roman" w:hAnsi="Times New Roman"/>
          <w:i/>
          <w:iCs/>
          <w:color w:val="000000"/>
        </w:rPr>
        <w:t xml:space="preserve">Sistema responsable de cada tipo de dato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46"/>
        <w:gridCol w:w="1923"/>
        <w:gridCol w:w="3991"/>
      </w:tblGrid>
      <w:tr>
        <w:trPr>
          <w:cantSplit/>
          <w:tblHeader/>
        </w:trPr>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Dato</w:t>
            </w:r>
          </w:p>
        </w:tc>
        <w:tc>
          <w:tcPr>
            <w:tcW w:type="dxa" w:w="19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Sistema responsable</w:t>
            </w:r>
          </w:p>
        </w:tc>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Uso por los demás sistemas</w:t>
            </w:r>
          </w:p>
        </w:tc>
      </w:tr>
      <w:tr>
        <w:trPr>
          <w:cantSplit/>
          <w:tblHeader w:val="off"/>
        </w:trPr>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Stock físico del almacén</w:t>
            </w:r>
          </w:p>
        </w:tc>
        <w:tc>
          <w:tcPr>
            <w:tcW w:type="dxa" w:w="19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WMS</w:t>
            </w:r>
          </w:p>
        </w:tc>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nuevo sistema lo consulta y le solicita cada reserva y salida</w:t>
            </w:r>
          </w:p>
        </w:tc>
      </w:tr>
      <w:tr>
        <w:trPr>
          <w:cantSplit/>
          <w:tblHeader w:val="off"/>
        </w:trPr>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Solicitudes de compra</w:t>
            </w:r>
          </w:p>
        </w:tc>
        <w:tc>
          <w:tcPr>
            <w:tcW w:type="dxa" w:w="19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Sistema de trazabilidad</w:t>
            </w:r>
          </w:p>
        </w:tc>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nuevo sistema las genera, las envía aprobadas al ERP y sigue su estado</w:t>
            </w:r>
          </w:p>
        </w:tc>
      </w:tr>
      <w:tr>
        <w:trPr>
          <w:cantSplit/>
          <w:tblHeader w:val="off"/>
        </w:trPr>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Órdenes de compra, proveedores y pagos</w:t>
            </w:r>
          </w:p>
        </w:tc>
        <w:tc>
          <w:tcPr>
            <w:tcW w:type="dxa" w:w="19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ERP</w:t>
            </w:r>
          </w:p>
        </w:tc>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ERP crea la orden formal; el nuevo sistema registra su número y consulta su estado</w:t>
            </w:r>
          </w:p>
        </w:tc>
      </w:tr>
      <w:tr>
        <w:trPr>
          <w:cantSplit/>
          <w:tblHeader w:val="off"/>
        </w:trPr>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Valoración del inventario (costo promedio ponderado)</w:t>
            </w:r>
          </w:p>
        </w:tc>
        <w:tc>
          <w:tcPr>
            <w:tcW w:type="dxa" w:w="19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ERP</w:t>
            </w:r>
          </w:p>
        </w:tc>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nuevo sistema consulta el costo para valorizar los materiales de cada orden</w:t>
            </w:r>
          </w:p>
        </w:tc>
      </w:tr>
      <w:tr>
        <w:trPr>
          <w:cantSplit/>
          <w:tblHeader w:val="off"/>
        </w:trPr>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Pedidos, reservas, cambios de pieza e historial de equipos</w:t>
            </w:r>
          </w:p>
        </w:tc>
        <w:tc>
          <w:tcPr>
            <w:tcW w:type="dxa" w:w="19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Sistema de trazabilidad</w:t>
            </w:r>
          </w:p>
        </w:tc>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Los tableros de la fase 3 lo consultarán en solo lectura</w:t>
            </w:r>
          </w:p>
        </w:tc>
      </w:tr>
      <w:tr>
        <w:trPr>
          <w:cantSplit/>
          <w:tblHeader w:val="off"/>
        </w:trPr>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Códigos de repuestos, equipos y proveedores</w:t>
            </w:r>
          </w:p>
        </w:tc>
        <w:tc>
          <w:tcPr>
            <w:tcW w:type="dxa" w:w="19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Catálogo maestro (MDM)</w:t>
            </w:r>
          </w:p>
        </w:tc>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Todos los sistemas usan el mismo código</w:t>
            </w:r>
          </w:p>
        </w:tc>
      </w:tr>
    </w:tbl>
    <w:p>
      <w:pPr>
        <w:spacing w:after="120"/>
      </w:pPr>
    </w:p>
    <w:p>
      <w:pPr>
        <w:pStyle w:val="Heading2"/>
      </w:pPr>
      <w:r>
        <w:rPr>
          <w:rFonts w:ascii="Times New Roman" w:cs="Times New Roman" w:eastAsia="Times New Roman" w:hAnsi="Times New Roman"/>
          <w:b/>
          <w:bCs/>
          <w:color w:val="000000"/>
        </w:rPr>
        <w:t xml:space="preserve">4.2 Consistencia transaccional (ACID)</w:t>
      </w:r>
    </w:p>
    <w:p>
      <w:pPr>
        <w:spacing w:after="120" w:line="276"/>
        <w:jc w:val="both"/>
      </w:pPr>
      <w:r>
        <w:rPr>
          <w:rFonts w:ascii="Times New Roman" w:cs="Times New Roman" w:eastAsia="Times New Roman" w:hAnsi="Times New Roman"/>
          <w:color w:val="000000"/>
        </w:rPr>
        <w:t xml:space="preserve">Las operaciones del sistema cumplen las propiedades ACID: atomicidad, consistencia, aislamiento y durabilidad (Haerder y Reuter, 1983). Por ejemplo, registrar una entrega implica tres operaciones dentro de la base de datos: registrar la salida como pendiente, vincularla a la reserva y a la orden de mantenimiento, y guardar la operación en la bandeja de salida para el WMS. Las tres se guardan juntas o no se guarda ninguna. Si dos técnicos solicitan al mismo tiempo el último filtro disponible, el aislamiento y la validación del WMS garantizan que solo uno lo obtenga y que el otro reciba el aviso de falta de stock.</w:t>
      </w:r>
    </w:p>
    <w:p>
      <w:pPr>
        <w:spacing w:after="120" w:line="276"/>
        <w:jc w:val="both"/>
      </w:pPr>
      <w:r>
        <w:rPr>
          <w:rFonts w:ascii="Times New Roman" w:cs="Times New Roman" w:eastAsia="Times New Roman" w:hAnsi="Times New Roman"/>
          <w:color w:val="000000"/>
        </w:rPr>
        <w:t xml:space="preserve">La propiedad ACID se cumple dentro de la base de datos del sistema. La actualización en el WMS no forma parte de la misma transacción, porque se trata de otro sistema: la salida solo pasa a confirmada cuando el WMS responde. Si la comunicación falla, el trabajador de integración reintenta con el mismo identificador, y el conteo semanal del almacén corrige cualquier diferencia que quede.</w:t>
      </w:r>
    </w:p>
    <w:p>
      <w:pPr>
        <w:pStyle w:val="Heading2"/>
      </w:pPr>
      <w:r>
        <w:rPr>
          <w:rFonts w:ascii="Times New Roman" w:cs="Times New Roman" w:eastAsia="Times New Roman" w:hAnsi="Times New Roman"/>
          <w:b/>
          <w:bCs/>
          <w:color w:val="000000"/>
        </w:rPr>
        <w:t xml:space="preserve">4.3 Monolito modular o arquitectura composable</w:t>
      </w:r>
    </w:p>
    <w:p>
      <w:pPr>
        <w:spacing w:after="120" w:line="276"/>
        <w:jc w:val="both"/>
      </w:pPr>
      <w:r>
        <w:rPr>
          <w:rFonts w:ascii="Times New Roman" w:cs="Times New Roman" w:eastAsia="Times New Roman" w:hAnsi="Times New Roman"/>
          <w:color w:val="000000"/>
        </w:rPr>
        <w:t xml:space="preserve">Una arquitectura monolítica concentra la aplicación en una sola unidad, mientras que una arquitectura composable la divide en servicios independientes. Se eligió un monolito modular: una sola aplicación dividida internamente en componentes con responsabilidades separadas. Esta opción resulta más económica de construir y operar con el presupuesto de Bs 195.000 y el plazo de siete meses y medio previstos en el business case, y requiere un equipo de soporte más pequeño. Hacia afuera, en cambio, la solución es composable, porque se integra por servicios con el WMS y el ERP sin reemplazarlos. Si en el futuro un componente, como el de alertas, necesitara crecer por separado, podría convertirse en un servicio independiente.</w:t>
      </w:r>
    </w:p>
    <w:p>
      <w:pPr>
        <w:pStyle w:val="Heading2"/>
      </w:pPr>
      <w:r>
        <w:rPr>
          <w:rFonts w:ascii="Times New Roman" w:cs="Times New Roman" w:eastAsia="Times New Roman" w:hAnsi="Times New Roman"/>
          <w:b/>
          <w:bCs/>
          <w:color w:val="000000"/>
        </w:rPr>
        <w:t xml:space="preserve">4.4 Mecanismos de integración</w:t>
      </w:r>
    </w:p>
    <w:p>
      <w:pPr>
        <w:spacing w:after="120" w:line="276"/>
        <w:jc w:val="both"/>
      </w:pPr>
      <w:r>
        <w:rPr>
          <w:rFonts w:ascii="Times New Roman" w:cs="Times New Roman" w:eastAsia="Times New Roman" w:hAnsi="Times New Roman"/>
          <w:color w:val="000000"/>
        </w:rPr>
        <w:t xml:space="preserve">La integración combina cuatro mecanismos. Cada uno se usa donde corresponde, según el acoplamiento que admite la operación.</w:t>
      </w:r>
    </w:p>
    <w:p>
      <w:pPr>
        <w:keepNext/>
        <w:spacing w:after="0" w:before="200"/>
      </w:pPr>
      <w:r>
        <w:rPr>
          <w:rFonts w:ascii="Times New Roman" w:cs="Times New Roman" w:eastAsia="Times New Roman" w:hAnsi="Times New Roman"/>
          <w:b/>
          <w:bCs/>
          <w:color w:val="000000"/>
        </w:rPr>
        <w:t xml:space="preserve">Tabla 5</w:t>
      </w:r>
    </w:p>
    <w:p>
      <w:pPr>
        <w:keepNext/>
        <w:spacing w:after="100"/>
      </w:pPr>
      <w:r>
        <w:rPr>
          <w:rFonts w:ascii="Times New Roman" w:cs="Times New Roman" w:eastAsia="Times New Roman" w:hAnsi="Times New Roman"/>
          <w:i/>
          <w:iCs/>
          <w:color w:val="000000"/>
        </w:rPr>
        <w:t xml:space="preserve">Mecanismos de 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3544"/>
        <w:gridCol w:w="3566"/>
      </w:tblGrid>
      <w:tr>
        <w:trPr>
          <w:cantSplit/>
          <w:tblHeader/>
        </w:trPr>
        <w:tc>
          <w:tcPr>
            <w:tcW w:type="dxa" w:w="22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Mecanismo</w:t>
            </w:r>
          </w:p>
        </w:tc>
        <w:tc>
          <w:tcPr>
            <w:tcW w:type="dxa" w:w="3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Uso en la solución</w:t>
            </w:r>
          </w:p>
        </w:tc>
        <w:tc>
          <w:tcPr>
            <w:tcW w:type="dxa" w:w="35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Justificación</w:t>
            </w:r>
          </w:p>
        </w:tc>
      </w:tr>
      <w:tr>
        <w:trPr>
          <w:cantSplit/>
          <w:tblHeader w:val="off"/>
        </w:trPr>
        <w:tc>
          <w:tcPr>
            <w:tcW w:type="dxa" w:w="22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API REST síncrona</w:t>
            </w:r>
          </w:p>
        </w:tc>
        <w:tc>
          <w:tcPr>
            <w:tcW w:type="dxa" w:w="3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Consulta de disponibilidad al WMS antes de reservar, a través del conector</w:t>
            </w:r>
          </w:p>
        </w:tc>
        <w:tc>
          <w:tcPr>
            <w:tcW w:type="dxa" w:w="35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Es una consulta inmediata que el usuario necesita en el momento</w:t>
            </w:r>
          </w:p>
        </w:tc>
      </w:tr>
      <w:tr>
        <w:trPr>
          <w:cantSplit/>
          <w:tblHeader w:val="off"/>
        </w:trPr>
        <w:tc>
          <w:tcPr>
            <w:tcW w:type="dxa" w:w="22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Mensajería asíncrona con cola (RabbitMQ)</w:t>
            </w:r>
          </w:p>
        </w:tc>
        <w:tc>
          <w:tcPr>
            <w:tcW w:type="dxa" w:w="3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Reservas, salidas, devoluciones, ajustes y envío de solicitudes al ERP</w:t>
            </w:r>
          </w:p>
        </w:tc>
        <w:tc>
          <w:tcPr>
            <w:tcW w:type="dxa" w:w="35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Bajo acoplamiento: si el WMS o el ERP no responden, la operación espera en la cola y el trabajo continúa</w:t>
            </w:r>
          </w:p>
        </w:tc>
      </w:tr>
      <w:tr>
        <w:trPr>
          <w:cantSplit/>
          <w:tblHeader w:val="off"/>
        </w:trPr>
        <w:tc>
          <w:tcPr>
            <w:tcW w:type="dxa" w:w="22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Webhooks</w:t>
            </w:r>
          </w:p>
        </w:tc>
        <w:tc>
          <w:tcPr>
            <w:tcW w:type="dxa" w:w="3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Recepción aceptada, transferencias y cambios de estado de la orden de compra</w:t>
            </w:r>
          </w:p>
        </w:tc>
        <w:tc>
          <w:tcPr>
            <w:tcW w:type="dxa" w:w="35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sistema externo avisa del cambio sin consultas periódicas</w:t>
            </w:r>
          </w:p>
        </w:tc>
      </w:tr>
      <w:tr>
        <w:trPr>
          <w:cantSplit/>
          <w:tblHeader w:val="off"/>
        </w:trPr>
        <w:tc>
          <w:tcPr>
            <w:tcW w:type="dxa" w:w="22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Procesos batch nocturnos</w:t>
            </w:r>
          </w:p>
        </w:tc>
        <w:tc>
          <w:tcPr>
            <w:tcW w:type="dxa" w:w="3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Sincronización de catálogos, recálculo de parámetros de reposición y conciliación de movimientos</w:t>
            </w:r>
          </w:p>
        </w:tc>
        <w:tc>
          <w:tcPr>
            <w:tcW w:type="dxa" w:w="35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Procesan grandes volúmenes fuera del horario de trabajo</w:t>
            </w:r>
          </w:p>
        </w:tc>
      </w:tr>
    </w:tbl>
    <w:p>
      <w:pPr>
        <w:spacing w:after="120"/>
      </w:pPr>
    </w:p>
    <w:p>
      <w:pPr>
        <w:spacing w:after="120" w:line="276"/>
        <w:jc w:val="both"/>
      </w:pPr>
      <w:r>
        <w:rPr>
          <w:rFonts w:ascii="Times New Roman" w:cs="Times New Roman" w:eastAsia="Times New Roman" w:hAnsi="Times New Roman"/>
          <w:color w:val="000000"/>
        </w:rPr>
        <w:t xml:space="preserve">Frente a la conexión punto a punto, que exige que ambos sistemas estén disponibles al mismo tiempo, la mensajería por eventos desacopla la solución en tiempo y disponibilidad. Frente a un bus de servicios empresarial (ESB), resulta más simple y económica para integrar solo dos sistemas externos (Hohpe y Woolf, 2003).</w:t>
      </w:r>
    </w:p>
    <w:p>
      <w:pPr>
        <w:pStyle w:val="Heading2"/>
      </w:pPr>
      <w:r>
        <w:rPr>
          <w:rFonts w:ascii="Times New Roman" w:cs="Times New Roman" w:eastAsia="Times New Roman" w:hAnsi="Times New Roman"/>
          <w:b/>
          <w:bCs/>
          <w:color w:val="000000"/>
        </w:rPr>
        <w:t xml:space="preserve">4.5 Seguridad y registro de operaciones</w:t>
      </w:r>
    </w:p>
    <w:p>
      <w:pPr>
        <w:spacing w:after="120" w:line="276"/>
        <w:jc w:val="both"/>
      </w:pPr>
      <w:r>
        <w:rPr>
          <w:rFonts w:ascii="Times New Roman" w:cs="Times New Roman" w:eastAsia="Times New Roman" w:hAnsi="Times New Roman"/>
          <w:color w:val="000000"/>
        </w:rPr>
        <w:t xml:space="preserve">El acceso se controla según el rol de cada usuario: el técnico registra pedidos y cambios de pieza, el personal de almacén entrega y registra salidas, el comprador gestiona las solicitudes de compra y la Gerencia consulta el estado sin modificar datos. Toda la comunicación viaja cifrada mediante HTTPS. Cada pedido, reserva, entrega o modificación queda registrado en la bitácora con el usuario, la fecha y la hora, de modo que Control Interno puede verificar quién realizó cada cambio; ese registro no puede editarse desde la aplicación. Además, la base de datos cuenta con copias de seguridad diarias.</w:t>
      </w:r>
    </w:p>
    <w:p>
      <w:pPr>
        <w:pStyle w:val="Heading1"/>
      </w:pPr>
      <w:r>
        <w:rPr>
          <w:rFonts w:ascii="Times New Roman" w:cs="Times New Roman" w:eastAsia="Times New Roman" w:hAnsi="Times New Roman"/>
          <w:b/>
          <w:bCs/>
          <w:color w:val="000000"/>
        </w:rPr>
        <w:t xml:space="preserve">5. Número de capas</w:t>
      </w:r>
    </w:p>
    <w:p>
      <w:pPr>
        <w:spacing w:after="120" w:line="276"/>
        <w:jc w:val="both"/>
      </w:pPr>
      <w:r>
        <w:rPr>
          <w:rFonts w:ascii="Times New Roman" w:cs="Times New Roman" w:eastAsia="Times New Roman" w:hAnsi="Times New Roman"/>
          <w:color w:val="000000"/>
        </w:rPr>
        <w:t xml:space="preserve">La arquitectura propuesta es de tres capas. Una aplicación web simple suele ser de dos capas, porque la interfaz trabaja directamente con la base de datos. En esta propuesta existe una tercera capa, la lógica, en la que residen las reglas del proceso: no entregar sin registrar la salida, no comprar lo que ya está disponible o en camino, y no cerrar un mantenimiento con operaciones pendientes. Separar estas reglas de la interfaz y de los datos permite modificarlas sin alterar las pantallas ni la base de datos, y asegura que se apliquen igual para todos los usuarios.</w:t>
      </w:r>
    </w:p>
    <w:p>
      <w:pPr>
        <w:pStyle w:val="Heading1"/>
      </w:pPr>
      <w:r>
        <w:rPr>
          <w:rFonts w:ascii="Times New Roman" w:cs="Times New Roman" w:eastAsia="Times New Roman" w:hAnsi="Times New Roman"/>
          <w:b/>
          <w:bCs/>
          <w:color w:val="000000"/>
        </w:rPr>
        <w:t xml:space="preserve">Referencias</w:t>
      </w:r>
    </w:p>
    <w:p>
      <w:pPr>
        <w:spacing w:after="120" w:line="276"/>
        <w:ind w:left="720" w:hanging="720"/>
      </w:pPr>
      <w:r>
        <w:rPr>
          <w:rFonts w:ascii="Times New Roman" w:cs="Times New Roman" w:eastAsia="Times New Roman" w:hAnsi="Times New Roman"/>
          <w:color w:val="000000"/>
        </w:rPr>
        <w:t xml:space="preserve">Brown, S. (s.f.). </w:t>
      </w:r>
      <w:r>
        <w:rPr>
          <w:rFonts w:ascii="Times New Roman" w:cs="Times New Roman" w:eastAsia="Times New Roman" w:hAnsi="Times New Roman"/>
          <w:i/>
          <w:iCs/>
          <w:color w:val="000000"/>
        </w:rPr>
        <w:t xml:space="preserve">The C4 model for visualising software architecture</w:t>
      </w:r>
      <w:r>
        <w:rPr>
          <w:rFonts w:ascii="Times New Roman" w:cs="Times New Roman" w:eastAsia="Times New Roman" w:hAnsi="Times New Roman"/>
          <w:color w:val="000000"/>
        </w:rPr>
        <w:t xml:space="preserve">. https://c4model.com</w:t>
      </w:r>
    </w:p>
    <w:p>
      <w:pPr>
        <w:spacing w:after="120" w:line="276"/>
        <w:ind w:left="720" w:hanging="720"/>
      </w:pPr>
      <w:r>
        <w:rPr>
          <w:rFonts w:ascii="Times New Roman" w:cs="Times New Roman" w:eastAsia="Times New Roman" w:hAnsi="Times New Roman"/>
          <w:color w:val="000000"/>
        </w:rPr>
        <w:t xml:space="preserve">Fielding, R. T. (2000). </w:t>
      </w:r>
      <w:r>
        <w:rPr>
          <w:rFonts w:ascii="Times New Roman" w:cs="Times New Roman" w:eastAsia="Times New Roman" w:hAnsi="Times New Roman"/>
          <w:i/>
          <w:iCs/>
          <w:color w:val="000000"/>
        </w:rPr>
        <w:t xml:space="preserve">Architectural styles and the design of network-based software architectures</w:t>
      </w:r>
      <w:r>
        <w:rPr>
          <w:rFonts w:ascii="Times New Roman" w:cs="Times New Roman" w:eastAsia="Times New Roman" w:hAnsi="Times New Roman"/>
          <w:color w:val="000000"/>
        </w:rPr>
        <w:t xml:space="preserve"> [Tesis doctoral, University of California, Irvine]. https://ics.uci.edu/~fielding/pubs/dissertation/top.htm</w:t>
      </w:r>
    </w:p>
    <w:p>
      <w:pPr>
        <w:spacing w:after="120" w:line="276"/>
        <w:ind w:left="720" w:hanging="720"/>
      </w:pPr>
      <w:r>
        <w:rPr>
          <w:rFonts w:ascii="Times New Roman" w:cs="Times New Roman" w:eastAsia="Times New Roman" w:hAnsi="Times New Roman"/>
          <w:color w:val="000000"/>
        </w:rPr>
        <w:t xml:space="preserve">Haerder, T., y Reuter, A. (1983). Principles of transaction-oriented database recovery. </w:t>
      </w:r>
      <w:r>
        <w:rPr>
          <w:rFonts w:ascii="Times New Roman" w:cs="Times New Roman" w:eastAsia="Times New Roman" w:hAnsi="Times New Roman"/>
          <w:i/>
          <w:iCs/>
          <w:color w:val="000000"/>
        </w:rPr>
        <w:t xml:space="preserve">ACM Computing Surveys, 15</w:t>
      </w:r>
      <w:r>
        <w:rPr>
          <w:rFonts w:ascii="Times New Roman" w:cs="Times New Roman" w:eastAsia="Times New Roman" w:hAnsi="Times New Roman"/>
          <w:color w:val="000000"/>
        </w:rPr>
        <w:t xml:space="preserve">(4), 287–317. https://doi.org/10.1145/289.291</w:t>
      </w:r>
    </w:p>
    <w:p>
      <w:pPr>
        <w:spacing w:after="120" w:line="276"/>
        <w:ind w:left="720" w:hanging="720"/>
      </w:pPr>
      <w:r>
        <w:rPr>
          <w:rFonts w:ascii="Times New Roman" w:cs="Times New Roman" w:eastAsia="Times New Roman" w:hAnsi="Times New Roman"/>
          <w:color w:val="000000"/>
        </w:rPr>
        <w:t xml:space="preserve">Hohpe, G., y Woolf, B. (2003). </w:t>
      </w:r>
      <w:r>
        <w:rPr>
          <w:rFonts w:ascii="Times New Roman" w:cs="Times New Roman" w:eastAsia="Times New Roman" w:hAnsi="Times New Roman"/>
          <w:i/>
          <w:iCs/>
          <w:color w:val="000000"/>
        </w:rPr>
        <w:t xml:space="preserve">Enterprise integration patterns: Designing, building, and deploying messaging solutions</w:t>
      </w:r>
      <w:r>
        <w:rPr>
          <w:rFonts w:ascii="Times New Roman" w:cs="Times New Roman" w:eastAsia="Times New Roman" w:hAnsi="Times New Roman"/>
          <w:color w:val="000000"/>
        </w:rPr>
        <w:t xml:space="preserve">. Addison-Wesley.</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0c1e055ff897d9300946477a866c9f5f368f2f5.png"/><Relationship Id="rId9" Type="http://schemas.openxmlformats.org/officeDocument/2006/relationships/image" Target="media/3a9280f737d8e1c4d13a6f52205a0a2758e417be.png"/><Relationship Id="rId10" Type="http://schemas.openxmlformats.org/officeDocument/2006/relationships/image" Target="media/756d8e2811fa3dc4cd8d101ed2fe810e29251e07.png"/><Relationship Id="rId11" Type="http://schemas.openxmlformats.org/officeDocument/2006/relationships/image" Target="media/87cfa1ffd3b6a8d3146d0668373b7056ec92437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TECNOLÓGICA</dc:title>
  <dc:creator>Tatiana Aramayo, Ariana Cordero, Patricia Quisbert y Melany Sonco</dc:creator>
  <cp:lastModifiedBy>Un-named</cp:lastModifiedBy>
  <cp:revision>1</cp:revision>
  <dcterms:created xsi:type="dcterms:W3CDTF">2026-10-20T23:20:02.550Z</dcterms:created>
  <dcterms:modified xsi:type="dcterms:W3CDTF">2026-10-20T23:20:02.550Z</dcterms:modified>
</cp:coreProperties>
</file>

<file path=docProps/custom.xml><?xml version="1.0" encoding="utf-8"?>
<Properties xmlns="http://schemas.openxmlformats.org/officeDocument/2006/custom-properties" xmlns:vt="http://schemas.openxmlformats.org/officeDocument/2006/docPropsVTypes"/>
</file>