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color w:val="000000"/>
          <w:sz w:val="28"/>
          <w:szCs w:val="28"/>
        </w:rPr>
        <w:t xml:space="preserve">FASE DE MODELADO DEL SISTEMA DE INFORMACIÓN</w:t>
      </w:r>
    </w:p>
    <w:p>
      <w:pPr>
        <w:spacing w:after="120"/>
        <w:jc w:val="center"/>
      </w:pPr>
      <w:r>
        <w:rPr>
          <w:rFonts w:ascii="Times New Roman" w:cs="Times New Roman" w:eastAsia="Times New Roman" w:hAnsi="Times New Roman"/>
          <w:b/>
          <w:bCs/>
          <w:color w:val="000000"/>
          <w:sz w:val="24"/>
          <w:szCs w:val="24"/>
        </w:rPr>
        <w:t xml:space="preserve">Caso de estudio: YPFB Transporte S.A.</w:t>
      </w:r>
    </w:p>
    <w:p>
      <w:pPr>
        <w:spacing w:after="200"/>
        <w:jc w:val="center"/>
      </w:pPr>
      <w:r>
        <w:rPr>
          <w:rFonts w:ascii="Times New Roman" w:cs="Times New Roman" w:eastAsia="Times New Roman" w:hAnsi="Times New Roman"/>
          <w:color w:val="000000"/>
          <w:sz w:val="24"/>
          <w:szCs w:val="24"/>
        </w:rPr>
        <w:t xml:space="preserve">Presentación de la integración de los módulos del sistema de inventarios MRO</w:t>
      </w:r>
    </w:p>
    <w:p>
      <w:pPr>
        <w:spacing w:after="40"/>
        <w:jc w:val="center"/>
      </w:pPr>
      <w:r>
        <w:rPr>
          <w:rFonts w:ascii="Times New Roman" w:cs="Times New Roman" w:eastAsia="Times New Roman" w:hAnsi="Times New Roman"/>
          <w:color w:val="000000"/>
          <w:sz w:val="24"/>
          <w:szCs w:val="24"/>
        </w:rPr>
        <w:t xml:space="preserve">Tatiana Aramayo, Ariana Cordero, Patricia Quisbert y Melany Sonco</w:t>
      </w:r>
    </w:p>
    <w:p>
      <w:pPr>
        <w:spacing w:after="40"/>
        <w:jc w:val="center"/>
      </w:pPr>
      <w:r>
        <w:rPr>
          <w:rFonts w:ascii="Times New Roman" w:cs="Times New Roman" w:eastAsia="Times New Roman" w:hAnsi="Times New Roman"/>
          <w:color w:val="000000"/>
          <w:sz w:val="22"/>
          <w:szCs w:val="22"/>
        </w:rPr>
        <w:t xml:space="preserve">Sistemas de Información Gerencial · Facultad de Ingenierías y Arquitectura · Universidad Privada Boliviana</w:t>
      </w:r>
    </w:p>
    <w:p>
      <w:pPr>
        <w:spacing w:after="360"/>
        <w:jc w:val="center"/>
      </w:pPr>
      <w:r>
        <w:rPr>
          <w:rFonts w:ascii="Times New Roman" w:cs="Times New Roman" w:eastAsia="Times New Roman" w:hAnsi="Times New Roman"/>
          <w:color w:val="000000"/>
          <w:sz w:val="22"/>
          <w:szCs w:val="22"/>
        </w:rPr>
        <w:t xml:space="preserve">Octubre de 2026</w:t>
      </w:r>
    </w:p>
    <w:p>
      <w:pPr>
        <w:pStyle w:val="Heading1"/>
      </w:pPr>
      <w:r>
        <w:rPr>
          <w:rFonts w:ascii="Times New Roman" w:cs="Times New Roman" w:eastAsia="Times New Roman" w:hAnsi="Times New Roman"/>
          <w:b/>
          <w:bCs/>
          <w:color w:val="000000"/>
        </w:rPr>
        <w:t xml:space="preserve">1. Introducción</w:t>
      </w:r>
    </w:p>
    <w:p>
      <w:pPr>
        <w:spacing w:after="120" w:line="276"/>
        <w:jc w:val="both"/>
      </w:pPr>
      <w:r>
        <w:rPr>
          <w:rFonts w:ascii="Times New Roman" w:cs="Times New Roman" w:eastAsia="Times New Roman" w:hAnsi="Times New Roman"/>
          <w:color w:val="000000"/>
        </w:rPr>
        <w:t xml:space="preserve">Esta fase modela el sistema de información que integra el inventario MRO con el mantenimiento de equipos y camiones de YPFB Transporte S.A. Su propósito es mostrar, con modelos verificables, cómo se conectan los módulos de Mantenimiento, Inventario y almacén, Compras y aprovisionamiento, Alertas, Trazabilidad e Integración con el WMS y el ERP.</w:t>
      </w:r>
    </w:p>
    <w:p>
      <w:pPr>
        <w:spacing w:after="120" w:line="276"/>
        <w:jc w:val="both"/>
      </w:pPr>
      <w:r>
        <w:rPr>
          <w:rFonts w:ascii="Times New Roman" w:cs="Times New Roman" w:eastAsia="Times New Roman" w:hAnsi="Times New Roman"/>
          <w:color w:val="000000"/>
        </w:rPr>
        <w:t xml:space="preserve">El modelado se apoya en las fases anteriores del proyecto:</w:t>
      </w:r>
    </w:p>
    <w:p>
      <w:pPr>
        <w:pStyle w:val="ListParagraph"/>
        <w:numPr>
          <w:ilvl w:val="0"/>
          <w:numId w:val="2"/>
        </w:numPr>
        <w:spacing w:after="60" w:line="276"/>
        <w:jc w:val="both"/>
      </w:pPr>
      <w:r>
        <w:rPr>
          <w:rFonts w:ascii="Times New Roman" w:cs="Times New Roman" w:eastAsia="Times New Roman" w:hAnsi="Times New Roman"/>
          <w:b/>
          <w:bCs/>
          <w:color w:val="000000"/>
        </w:rPr>
        <w:t xml:space="preserve">Fase conceptual:</w:t>
      </w:r>
      <w:r>
        <w:rPr>
          <w:rFonts w:ascii="Times New Roman" w:cs="Times New Roman" w:eastAsia="Times New Roman" w:hAnsi="Times New Roman"/>
          <w:color w:val="000000"/>
        </w:rPr>
        <w:t xml:space="preserve"> inventario de insumos MRO, registro perpetuo, valoración por costo promedio ponderado, revisión continua, tipos de stock, punto de reorden, stock de seguridad, cantidad a solicitar, criterios de prioridad y selección de unidades, propiedad de la información y relación con ERP, SCM y CRM.</w:t>
      </w:r>
    </w:p>
    <w:p>
      <w:pPr>
        <w:pStyle w:val="ListParagraph"/>
        <w:numPr>
          <w:ilvl w:val="0"/>
          <w:numId w:val="2"/>
        </w:numPr>
        <w:spacing w:after="60" w:line="276"/>
        <w:jc w:val="both"/>
      </w:pPr>
      <w:r>
        <w:rPr>
          <w:rFonts w:ascii="Times New Roman" w:cs="Times New Roman" w:eastAsia="Times New Roman" w:hAnsi="Times New Roman"/>
          <w:b/>
          <w:bCs/>
          <w:color w:val="000000"/>
        </w:rPr>
        <w:t xml:space="preserve">Propuesta funcional:</w:t>
      </w:r>
      <w:r>
        <w:rPr>
          <w:rFonts w:ascii="Times New Roman" w:cs="Times New Roman" w:eastAsia="Times New Roman" w:hAnsi="Times New Roman"/>
          <w:color w:val="000000"/>
        </w:rPr>
        <w:t xml:space="preserve"> nueve módulos, roles, controles de stock, alertas, trazabilidad, casos de sincronización con el WMS y el ERP, y requisitos funcionales RF-01 a RF-23.</w:t>
      </w:r>
    </w:p>
    <w:p>
      <w:pPr>
        <w:pStyle w:val="ListParagraph"/>
        <w:numPr>
          <w:ilvl w:val="0"/>
          <w:numId w:val="2"/>
        </w:numPr>
        <w:spacing w:after="60" w:line="276"/>
        <w:jc w:val="both"/>
      </w:pPr>
      <w:r>
        <w:rPr>
          <w:rFonts w:ascii="Times New Roman" w:cs="Times New Roman" w:eastAsia="Times New Roman" w:hAnsi="Times New Roman"/>
          <w:b/>
          <w:bCs/>
          <w:color w:val="000000"/>
        </w:rPr>
        <w:t xml:space="preserve">Propuesta tecnológica:</w:t>
      </w:r>
      <w:r>
        <w:rPr>
          <w:rFonts w:ascii="Times New Roman" w:cs="Times New Roman" w:eastAsia="Times New Roman" w:hAnsi="Times New Roman"/>
          <w:color w:val="000000"/>
        </w:rPr>
        <w:t xml:space="preserve"> arquitectura en tres capas (React, Node.js con Express y PostgreSQL), trabajador de integración con cola de mensajes, modelo C4 en tres niveles, consistencia ACID y fuente única de verdad.</w:t>
      </w:r>
    </w:p>
    <w:p>
      <w:pPr>
        <w:pStyle w:val="ListParagraph"/>
        <w:numPr>
          <w:ilvl w:val="0"/>
          <w:numId w:val="2"/>
        </w:numPr>
        <w:spacing w:after="60" w:line="276"/>
        <w:jc w:val="both"/>
      </w:pPr>
      <w:r>
        <w:rPr>
          <w:rFonts w:ascii="Times New Roman" w:cs="Times New Roman" w:eastAsia="Times New Roman" w:hAnsi="Times New Roman"/>
          <w:b/>
          <w:bCs/>
          <w:color w:val="000000"/>
        </w:rPr>
        <w:t xml:space="preserve">Análisis del sistema de mantenimiento:</w:t>
      </w:r>
      <w:r>
        <w:rPr>
          <w:rFonts w:ascii="Times New Roman" w:cs="Times New Roman" w:eastAsia="Times New Roman" w:hAnsi="Times New Roman"/>
          <w:color w:val="000000"/>
        </w:rPr>
        <w:t xml:space="preserve"> diagrama de flujo de datos con los procesos 1 a 5 y los almacenes D3 a D6, que aquí se completa.</w:t>
      </w:r>
    </w:p>
    <w:p>
      <w:pPr>
        <w:spacing w:after="60"/>
      </w:pPr>
    </w:p>
    <w:p>
      <w:pPr>
        <w:spacing w:after="120" w:line="276"/>
        <w:jc w:val="both"/>
      </w:pPr>
      <w:r>
        <w:rPr>
          <w:rFonts w:ascii="Times New Roman" w:cs="Times New Roman" w:eastAsia="Times New Roman" w:hAnsi="Times New Roman"/>
          <w:color w:val="000000"/>
        </w:rPr>
        <w:t xml:space="preserve">El documento presenta seis modelos complementarios. Cada uno responde una pregunta distinta sobre la integración.</w:t>
      </w:r>
    </w:p>
    <w:p>
      <w:pPr>
        <w:keepNext/>
        <w:spacing w:after="0" w:before="200"/>
      </w:pPr>
      <w:r>
        <w:rPr>
          <w:rFonts w:ascii="Times New Roman" w:cs="Times New Roman" w:eastAsia="Times New Roman" w:hAnsi="Times New Roman"/>
          <w:b/>
          <w:bCs/>
          <w:color w:val="000000"/>
        </w:rPr>
        <w:t xml:space="preserve">Tabla 1</w:t>
      </w:r>
    </w:p>
    <w:p>
      <w:pPr>
        <w:keepNext/>
        <w:spacing w:after="100"/>
      </w:pPr>
      <w:r>
        <w:rPr>
          <w:rFonts w:ascii="Times New Roman" w:cs="Times New Roman" w:eastAsia="Times New Roman" w:hAnsi="Times New Roman"/>
          <w:i/>
          <w:iCs/>
          <w:color w:val="000000"/>
        </w:rPr>
        <w:t xml:space="preserve">Modelos de esta fase y pregunta que responde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59"/>
        <w:gridCol w:w="4569"/>
        <w:gridCol w:w="1132"/>
      </w:tblGrid>
      <w:tr>
        <w:trPr>
          <w:cantSplit/>
          <w:tblHeader/>
        </w:trPr>
        <w:tc>
          <w:tcPr>
            <w:tcW w:type="dxa" w:w="36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Modelo</w:t>
            </w:r>
          </w:p>
        </w:tc>
        <w:tc>
          <w:tcPr>
            <w:tcW w:type="dxa" w:w="45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Pregunta que responde</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Figuras</w:t>
            </w:r>
          </w:p>
        </w:tc>
      </w:tr>
      <w:tr>
        <w:trPr>
          <w:cantSplit/>
          <w:tblHeader w:val="off"/>
        </w:trPr>
        <w:tc>
          <w:tcPr>
            <w:tcW w:type="dxa" w:w="36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Mapa de integración y matriz CRUD</w:t>
            </w:r>
          </w:p>
        </w:tc>
        <w:tc>
          <w:tcPr>
            <w:tcW w:type="dxa" w:w="45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¿Qué módulo intercambia qué información con cuál?</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1</w:t>
            </w:r>
          </w:p>
        </w:tc>
      </w:tr>
      <w:tr>
        <w:trPr>
          <w:cantSplit/>
          <w:tblHeader w:val="off"/>
        </w:trPr>
        <w:tc>
          <w:tcPr>
            <w:tcW w:type="dxa" w:w="36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Casos de uso</w:t>
            </w:r>
          </w:p>
        </w:tc>
        <w:tc>
          <w:tcPr>
            <w:tcW w:type="dxa" w:w="45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¿Quién usa el sistema y para qué?</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2</w:t>
            </w:r>
          </w:p>
        </w:tc>
      </w:tr>
      <w:tr>
        <w:trPr>
          <w:cantSplit/>
          <w:tblHeader w:val="off"/>
        </w:trPr>
        <w:tc>
          <w:tcPr>
            <w:tcW w:type="dxa" w:w="36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Diagramas de flujo de datos (niveles 0, 1 y 2)</w:t>
            </w:r>
          </w:p>
        </w:tc>
        <w:tc>
          <w:tcPr>
            <w:tcW w:type="dxa" w:w="45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¿Por dónde circulan los datos y dónde se guardan?</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3, 4 y 5</w:t>
            </w:r>
          </w:p>
        </w:tc>
      </w:tr>
      <w:tr>
        <w:trPr>
          <w:cantSplit/>
          <w:tblHeader w:val="off"/>
        </w:trPr>
        <w:tc>
          <w:tcPr>
            <w:tcW w:type="dxa" w:w="36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Modelo entidad-relación y diccionario de datos</w:t>
            </w:r>
          </w:p>
        </w:tc>
        <w:tc>
          <w:tcPr>
            <w:tcW w:type="dxa" w:w="45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¿Qué datos existen y cómo se relacionan entre módulos?</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6</w:t>
            </w:r>
          </w:p>
        </w:tc>
      </w:tr>
      <w:tr>
        <w:trPr>
          <w:cantSplit/>
          <w:tblHeader w:val="off"/>
        </w:trPr>
        <w:tc>
          <w:tcPr>
            <w:tcW w:type="dxa" w:w="36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Diagramas de estados</w:t>
            </w:r>
          </w:p>
        </w:tc>
        <w:tc>
          <w:tcPr>
            <w:tcW w:type="dxa" w:w="45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¿Cómo cambia cada objeto compartido entre módulos?</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7 y 8</w:t>
            </w:r>
          </w:p>
        </w:tc>
      </w:tr>
      <w:tr>
        <w:trPr>
          <w:cantSplit/>
          <w:tblHeader w:val="off"/>
        </w:trPr>
        <w:tc>
          <w:tcPr>
            <w:tcW w:type="dxa" w:w="36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Diagramas de secuencia y catálogo de eventos</w:t>
            </w:r>
          </w:p>
        </w:tc>
        <w:tc>
          <w:tcPr>
            <w:tcW w:type="dxa" w:w="45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 qué orden se comunican los módulos y qué pasa si algo falla?</w:t>
            </w:r>
          </w:p>
        </w:tc>
        <w:tc>
          <w:tcPr>
            <w:tcW w:type="dxa" w:w="11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9, 10 y 11</w:t>
            </w:r>
          </w:p>
        </w:tc>
      </w:tr>
    </w:tbl>
    <w:p>
      <w:pPr>
        <w:spacing w:after="120"/>
      </w:pPr>
    </w:p>
    <w:p>
      <w:pPr>
        <w:pStyle w:val="Heading1"/>
      </w:pPr>
      <w:r>
        <w:rPr>
          <w:rFonts w:ascii="Times New Roman" w:cs="Times New Roman" w:eastAsia="Times New Roman" w:hAnsi="Times New Roman"/>
          <w:b/>
          <w:bCs/>
          <w:color w:val="000000"/>
        </w:rPr>
        <w:t xml:space="preserve">2. Bases del modelado</w:t>
      </w:r>
    </w:p>
    <w:p>
      <w:pPr>
        <w:spacing w:after="120" w:line="276"/>
        <w:jc w:val="both"/>
      </w:pPr>
      <w:r>
        <w:rPr>
          <w:rFonts w:ascii="Times New Roman" w:cs="Times New Roman" w:eastAsia="Times New Roman" w:hAnsi="Times New Roman"/>
          <w:color w:val="000000"/>
        </w:rPr>
        <w:t xml:space="preserve">El modelo implementa, sin modificarlas, las definiciones de la fase conceptual. La siguiente tabla indica dónde se refleja cada una.</w:t>
      </w:r>
    </w:p>
    <w:p>
      <w:pPr>
        <w:keepNext/>
        <w:spacing w:after="0" w:before="200"/>
      </w:pPr>
      <w:r>
        <w:rPr>
          <w:rFonts w:ascii="Times New Roman" w:cs="Times New Roman" w:eastAsia="Times New Roman" w:hAnsi="Times New Roman"/>
          <w:b/>
          <w:bCs/>
          <w:color w:val="000000"/>
        </w:rPr>
        <w:t xml:space="preserve">Tabla 2</w:t>
      </w:r>
    </w:p>
    <w:p>
      <w:pPr>
        <w:keepNext/>
        <w:spacing w:after="100"/>
      </w:pPr>
      <w:r>
        <w:rPr>
          <w:rFonts w:ascii="Times New Roman" w:cs="Times New Roman" w:eastAsia="Times New Roman" w:hAnsi="Times New Roman"/>
          <w:i/>
          <w:iCs/>
          <w:color w:val="000000"/>
        </w:rPr>
        <w:t xml:space="preserve">Definiciones de la fase conceptual y su reflejo en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19"/>
        <w:gridCol w:w="5341"/>
      </w:tblGrid>
      <w:tr>
        <w:trPr>
          <w:cantSplit/>
          <w:tblHeader/>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Definición de la fase conceptual</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Cómo se refleja en el modelo</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 MRO: repuestos, materiales y consumibles para mantenimiento, no para la venta</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tabla MATERIAL guarda criticidad y compatibilidad; no hay precios de venta ni ventas</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Valoración por costo promedio ponderado (CPP), calculado por el ERP</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solución consulta el CPP vigente para valorizar los materiales de cada orden; no guarda el costo oficial</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Registro perpetuo: el sistema responsable confirma cada movimiento</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MOVIMIENTO solo pasa a «confirmado» con la respuesta del WMS (estado de OPERACIÓN_INTEGRACIÓN)</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Revisión continua de la reposición</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evento «salida confirmada» dispara la evaluación del punto de reorden (proceso 3.1)</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Stock disponible = físico − reservado − bloqueado (apartado 4.2)</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 calcula con los datos que devuelve el WMS; la solución no guarda un saldo propio</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stock en tránsito no es disponible</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 suma a la posición de inventario, pero no a lo reservable</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ROP evaluado contra la posición de inventario</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Posición = disponible + compras confirmadas por recibir − requerimientos aprobados no reservados</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ROP indica cuándo reponer, no cuánto</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cantidad se calcula aparte, según el método de reposición del material</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EOQ solo con datos confiables; si no, hasta el stock máximo (apartado 5.4)</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MATERIAL.método_reposición admite «EOQ» o «hasta el máximo»</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Prioridades crítica, alta, media y normal</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Dominio del campo ORDEN_MANTENIMIENTO.prioridad</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Selección de unidades: compatibilidad primero, luego FEFO o PEPS</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Tabla COMPATIBILIDAD y lote, serie y vencimiento en MOVIMIENTO</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pieza retirada no vuelve automáticamente al stock</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CAMBIO_PIEZA.destino: evaluación, reparación, garantía, resguardo o baja</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Una orden que espera repuestos queda pendiente</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 «En espera de repuestos» de la orden (figura 7)</w:t>
            </w:r>
          </w:p>
        </w:tc>
      </w:tr>
      <w:tr>
        <w:trPr>
          <w:cantSplit/>
          <w:tblHeader w:val="off"/>
        </w:trPr>
        <w:tc>
          <w:tcPr>
            <w:tcW w:type="dxa" w:w="40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WMS es dueño del stock y el ERP de la orden de compra</w:t>
            </w:r>
          </w:p>
        </w:tc>
        <w:tc>
          <w:tcPr>
            <w:tcW w:type="dxa" w:w="53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solución guarda referencias (ref. WMS, N.º de OC), no copias oficiales</w:t>
            </w:r>
          </w:p>
        </w:tc>
      </w:tr>
    </w:tbl>
    <w:p>
      <w:pPr>
        <w:spacing w:after="120"/>
      </w:pPr>
    </w:p>
    <w:p>
      <w:pPr>
        <w:spacing w:after="120" w:line="276"/>
        <w:jc w:val="both"/>
      </w:pPr>
      <w:r>
        <w:rPr>
          <w:rFonts w:ascii="Times New Roman" w:cs="Times New Roman" w:eastAsia="Times New Roman" w:hAnsi="Times New Roman"/>
          <w:b/>
          <w:bCs/>
          <w:color w:val="000000"/>
        </w:rPr>
        <w:t xml:space="preserve">Notación utilizada.</w:t>
      </w:r>
      <w:r>
        <w:rPr>
          <w:rFonts w:ascii="Times New Roman" w:cs="Times New Roman" w:eastAsia="Times New Roman" w:hAnsi="Times New Roman"/>
          <w:color w:val="000000"/>
        </w:rPr>
        <w:t xml:space="preserve"> Diagramas de flujo de datos con la notación de Yourdon y DeMarco (procesos en círculo, almacenes de datos y entidades externas). Casos de uso, estados y secuencias en UML 2.5 (Object Management Group [OMG], 2017). Modelo entidad-relación con cardinalidades explícitas (Chen, 1976).</w:t>
      </w:r>
    </w:p>
    <w:p>
      <w:pPr>
        <w:pStyle w:val="Heading1"/>
      </w:pPr>
      <w:r>
        <w:rPr>
          <w:rFonts w:ascii="Times New Roman" w:cs="Times New Roman" w:eastAsia="Times New Roman" w:hAnsi="Times New Roman"/>
          <w:b/>
          <w:bCs/>
          <w:color w:val="000000"/>
        </w:rPr>
        <w:t xml:space="preserve">3. Visión integrada de los módulos</w:t>
      </w:r>
    </w:p>
    <w:p>
      <w:pPr>
        <w:spacing w:after="120" w:line="276"/>
        <w:jc w:val="both"/>
      </w:pPr>
      <w:r>
        <w:rPr>
          <w:rFonts w:ascii="Times New Roman" w:cs="Times New Roman" w:eastAsia="Times New Roman" w:hAnsi="Times New Roman"/>
          <w:color w:val="000000"/>
        </w:rPr>
        <w:t xml:space="preserve">Ningún módulo de negocio habla directamente con el WMS o el ERP. Todos publican sus operaciones como eventos internos, y el módulo de Integración es el único que las transmite y devuelve las confirmaciones. Así se cumple la regla de la fase conceptual: la solución relaciona movimientos confirmados, sin mantener un segundo saldo oficial.</w:t>
      </w:r>
    </w:p>
    <w:p>
      <w:pPr>
        <w:keepNext/>
        <w:spacing w:after="0" w:before="200"/>
      </w:pPr>
      <w:r>
        <w:rPr>
          <w:rFonts w:ascii="Times New Roman" w:cs="Times New Roman" w:eastAsia="Times New Roman" w:hAnsi="Times New Roman"/>
          <w:b/>
          <w:bCs/>
          <w:color w:val="000000"/>
        </w:rPr>
        <w:t xml:space="preserve">Figura 1</w:t>
      </w:r>
    </w:p>
    <w:p>
      <w:pPr>
        <w:keepNext/>
        <w:spacing w:after="100"/>
      </w:pPr>
      <w:r>
        <w:rPr>
          <w:rFonts w:ascii="Times New Roman" w:cs="Times New Roman" w:eastAsia="Times New Roman" w:hAnsi="Times New Roman"/>
          <w:i/>
          <w:iCs/>
          <w:color w:val="000000"/>
        </w:rPr>
        <w:t xml:space="preserve">Mapa de integración de los módulos</w:t>
      </w:r>
    </w:p>
    <w:p>
      <w:pPr>
        <w:keepNext/>
        <w:jc w:val="center"/>
      </w:pPr>
      <w:r>
        <w:drawing>
          <wp:inline distT="0" distB="0" distL="0" distR="0">
            <wp:extent cx="5943600" cy="3143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4325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Los números identifican los flujos de la tabla 3.</w:t>
      </w:r>
    </w:p>
    <w:p>
      <w:pPr>
        <w:spacing w:after="120" w:line="276"/>
        <w:jc w:val="both"/>
      </w:pPr>
      <w:r>
        <w:rPr>
          <w:rFonts w:ascii="Times New Roman" w:cs="Times New Roman" w:eastAsia="Times New Roman" w:hAnsi="Times New Roman"/>
          <w:color w:val="000000"/>
        </w:rPr>
        <w:t xml:space="preserve">Cada número del mapa corresponde a un flujo de integración.</w:t>
      </w:r>
    </w:p>
    <w:p>
      <w:pPr>
        <w:keepNext/>
        <w:spacing w:after="0" w:before="200"/>
      </w:pPr>
      <w:r>
        <w:rPr>
          <w:rFonts w:ascii="Times New Roman" w:cs="Times New Roman" w:eastAsia="Times New Roman" w:hAnsi="Times New Roman"/>
          <w:b/>
          <w:bCs/>
          <w:color w:val="000000"/>
        </w:rPr>
        <w:t xml:space="preserve">Tabla 3</w:t>
      </w:r>
    </w:p>
    <w:p>
      <w:pPr>
        <w:keepNext/>
        <w:spacing w:after="100"/>
      </w:pPr>
      <w:r>
        <w:rPr>
          <w:rFonts w:ascii="Times New Roman" w:cs="Times New Roman" w:eastAsia="Times New Roman" w:hAnsi="Times New Roman"/>
          <w:i/>
          <w:iCs/>
          <w:color w:val="000000"/>
        </w:rPr>
        <w:t xml:space="preserve">Flujos de integración entre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375"/>
        <w:gridCol w:w="3616"/>
        <w:gridCol w:w="2669"/>
      </w:tblGrid>
      <w:tr>
        <w:trPr>
          <w:cantSplit/>
          <w:tblHeader/>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N.º</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Origen → destino</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Información</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Disparador</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1</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 Inventario</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Materiales requeridos y solicitud de reserva</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validada por el supervisor</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2</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 → Mantenimiento</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o salida confirmada</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Confirmación del WMS</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3</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 → Compras</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Necesidad sin stock; posición igual o menor al ROP</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rechazada o salida confirmada</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4</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 Inventario</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 aceptada, material disponible</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Confirmación de ingreso del WMS</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5</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 Mantenimiento</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 de la solicitud y fecha prometida</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Cambio de estado de la solicitud</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6</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Módulos de negocio ↔ eventos internos</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Operaciones y eventos con identificador único</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transacción confirmada en la base de datos</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7</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Eventos → Alertas</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Stock bajo, reserva por vencer, retraso, cierre incompleto, incidencia</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Reglas del módulo de alertas</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8</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Eventos → Trazabilidad</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Usuario, fecha, valor anterior y nuevo, motivo</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Toda operación</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9</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Eventos ↔ Integración</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Operaciones pendientes y confirmaciones</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Bandeja de salida</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10</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 ↔ WMS</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Existencias, reservas, salidas, devoluciones y recepciones</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REST y webhooks</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11</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 ↔ ERP</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 aprobada, número y estado de la orden de compra</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REST y webhooks</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12</w:t>
            </w:r>
          </w:p>
        </w:tc>
        <w:tc>
          <w:tcPr>
            <w:tcW w:type="dxa" w:w="237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Alertas → Correo</w:t>
            </w:r>
          </w:p>
        </w:tc>
        <w:tc>
          <w:tcPr>
            <w:tcW w:type="dxa" w:w="361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Avisos a los responsables</w:t>
            </w:r>
          </w:p>
        </w:tc>
        <w:tc>
          <w:tcPr>
            <w:tcW w:type="dxa" w:w="26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Alerta de prioridad crítica o alta</w:t>
            </w:r>
          </w:p>
        </w:tc>
      </w:tr>
    </w:tbl>
    <w:p>
      <w:pPr>
        <w:spacing w:after="120"/>
      </w:pPr>
    </w:p>
    <w:p>
      <w:pPr>
        <w:pStyle w:val="Heading2"/>
      </w:pPr>
      <w:r>
        <w:rPr>
          <w:rFonts w:ascii="Times New Roman" w:cs="Times New Roman" w:eastAsia="Times New Roman" w:hAnsi="Times New Roman"/>
          <w:b/>
          <w:bCs/>
          <w:color w:val="000000"/>
        </w:rPr>
        <w:t xml:space="preserve">3.1 Matriz CRUD de entidades por módulo</w:t>
      </w:r>
    </w:p>
    <w:p>
      <w:pPr>
        <w:spacing w:after="120" w:line="276"/>
        <w:jc w:val="both"/>
      </w:pPr>
      <w:r>
        <w:rPr>
          <w:rFonts w:ascii="Times New Roman" w:cs="Times New Roman" w:eastAsia="Times New Roman" w:hAnsi="Times New Roman"/>
          <w:color w:val="000000"/>
        </w:rPr>
        <w:t xml:space="preserve">La matriz CRUD muestra qué módulo crea (C), lee (R) o actualiza (U) cada entidad. Cada entidad tiene un solo módulo que la crea; los demás la leen o actualizan su estado. Esa regla evita registros duplicados entre áreas.</w:t>
      </w:r>
    </w:p>
    <w:p>
      <w:pPr>
        <w:keepNext/>
        <w:spacing w:after="0" w:before="200"/>
      </w:pPr>
      <w:r>
        <w:rPr>
          <w:rFonts w:ascii="Times New Roman" w:cs="Times New Roman" w:eastAsia="Times New Roman" w:hAnsi="Times New Roman"/>
          <w:b/>
          <w:bCs/>
          <w:color w:val="000000"/>
        </w:rPr>
        <w:t xml:space="preserve">Tabla 4</w:t>
      </w:r>
    </w:p>
    <w:p>
      <w:pPr>
        <w:keepNext/>
        <w:spacing w:after="100"/>
      </w:pPr>
      <w:r>
        <w:rPr>
          <w:rFonts w:ascii="Times New Roman" w:cs="Times New Roman" w:eastAsia="Times New Roman" w:hAnsi="Times New Roman"/>
          <w:i/>
          <w:iCs/>
          <w:color w:val="000000"/>
        </w:rPr>
        <w:t xml:space="preserve">Matriz CRUD de entidades por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1"/>
        <w:gridCol w:w="1419"/>
        <w:gridCol w:w="1139"/>
        <w:gridCol w:w="859"/>
        <w:gridCol w:w="859"/>
        <w:gridCol w:w="1326"/>
        <w:gridCol w:w="1237"/>
      </w:tblGrid>
      <w:tr>
        <w:trPr>
          <w:cantSplit/>
          <w:tblHeader/>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Entidad</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Mantenimiento</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Inventario</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Compras</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Alertas</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Trazabilidad</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Integración</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ORDEN_MANTENIMIENTO</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 U</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DETALLE_MATERIAL</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 U</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 U</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CAMBIO_PIEZA</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RESERVA</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 U</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MOVIMIENTO</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SOLICITUD_COMPRA</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 U</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COTIZACIÓN</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 U</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RECEPCIÓN</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OPERACIÓN_INTEGRACIÓN</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 U</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INCIDENCIA</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U</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ALERTA</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U</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BITÁCORA</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 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t>
            </w:r>
          </w:p>
        </w:tc>
      </w:tr>
      <w:tr>
        <w:trPr>
          <w:cantSplit/>
          <w:tblHeader w:val="off"/>
        </w:trPr>
        <w:tc>
          <w:tcPr>
            <w:tcW w:type="dxa" w:w="2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MATERIAL, EQUIPO, PROVEEDOR</w:t>
            </w:r>
          </w:p>
        </w:tc>
        <w:tc>
          <w:tcPr>
            <w:tcW w:type="dxa" w:w="141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1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85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3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w:t>
            </w:r>
          </w:p>
        </w:tc>
        <w:tc>
          <w:tcPr>
            <w:tcW w:type="dxa" w:w="12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U (sincroniza catálogos)</w:t>
            </w:r>
          </w:p>
        </w:tc>
      </w:tr>
    </w:tbl>
    <w:p>
      <w:pPr>
        <w:spacing w:after="120"/>
      </w:pPr>
    </w:p>
    <w:p>
      <w:pPr>
        <w:spacing w:after="120" w:line="276"/>
        <w:jc w:val="both"/>
      </w:pPr>
      <w:r>
        <w:rPr>
          <w:rFonts w:ascii="Times New Roman" w:cs="Times New Roman" w:eastAsia="Times New Roman" w:hAnsi="Times New Roman"/>
          <w:color w:val="000000"/>
        </w:rPr>
        <w:t xml:space="preserve">Los datos maestros los administra el módulo de Datos maestros y los permisos el de Usuarios, roles y permisos. Ninguna fila de la bitácora se actualiza ni elimina desde la aplicación.</w:t>
      </w:r>
    </w:p>
    <w:p>
      <w:pPr>
        <w:pStyle w:val="Heading1"/>
      </w:pPr>
      <w:r>
        <w:rPr>
          <w:rFonts w:ascii="Times New Roman" w:cs="Times New Roman" w:eastAsia="Times New Roman" w:hAnsi="Times New Roman"/>
          <w:b/>
          <w:bCs/>
          <w:color w:val="000000"/>
        </w:rPr>
        <w:t xml:space="preserve">4. Modelo funcional: casos de uso</w:t>
      </w:r>
    </w:p>
    <w:p>
      <w:pPr>
        <w:spacing w:after="120" w:line="276"/>
        <w:jc w:val="both"/>
      </w:pPr>
      <w:r>
        <w:rPr>
          <w:rFonts w:ascii="Times New Roman" w:cs="Times New Roman" w:eastAsia="Times New Roman" w:hAnsi="Times New Roman"/>
          <w:color w:val="000000"/>
        </w:rPr>
        <w:t xml:space="preserve">El sistema tiene seis actores humanos y dos sistemas externos. Los casos de uso se agrupan por color según el módulo responsable.</w:t>
      </w:r>
    </w:p>
    <w:p>
      <w:pPr>
        <w:keepNext/>
        <w:spacing w:after="0" w:before="200"/>
      </w:pPr>
      <w:r>
        <w:rPr>
          <w:rFonts w:ascii="Times New Roman" w:cs="Times New Roman" w:eastAsia="Times New Roman" w:hAnsi="Times New Roman"/>
          <w:b/>
          <w:bCs/>
          <w:color w:val="000000"/>
        </w:rPr>
        <w:t xml:space="preserve">Figura 2</w:t>
      </w:r>
    </w:p>
    <w:p>
      <w:pPr>
        <w:keepNext/>
        <w:spacing w:after="100"/>
      </w:pPr>
      <w:r>
        <w:rPr>
          <w:rFonts w:ascii="Times New Roman" w:cs="Times New Roman" w:eastAsia="Times New Roman" w:hAnsi="Times New Roman"/>
          <w:i/>
          <w:iCs/>
          <w:color w:val="000000"/>
        </w:rPr>
        <w:t xml:space="preserve">Diagrama de casos de uso</w:t>
      </w:r>
    </w:p>
    <w:p>
      <w:pPr>
        <w:keepNext/>
        <w:jc w:val="center"/>
      </w:pPr>
      <w:r>
        <w:drawing>
          <wp:inline distT="0" distB="0" distL="0" distR="0">
            <wp:extent cx="5943600" cy="4276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276725"/>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El color de cada caso de uso indica el módulo responsable.</w:t>
      </w:r>
    </w:p>
    <w:p>
      <w:pPr>
        <w:keepNext/>
        <w:spacing w:after="0" w:before="200"/>
      </w:pPr>
      <w:r>
        <w:rPr>
          <w:rFonts w:ascii="Times New Roman" w:cs="Times New Roman" w:eastAsia="Times New Roman" w:hAnsi="Times New Roman"/>
          <w:b/>
          <w:bCs/>
          <w:color w:val="000000"/>
        </w:rPr>
        <w:t xml:space="preserve">Tabla 5</w:t>
      </w:r>
    </w:p>
    <w:p>
      <w:pPr>
        <w:keepNext/>
        <w:spacing w:after="100"/>
      </w:pPr>
      <w:r>
        <w:rPr>
          <w:rFonts w:ascii="Times New Roman" w:cs="Times New Roman" w:eastAsia="Times New Roman" w:hAnsi="Times New Roman"/>
          <w:i/>
          <w:iCs/>
          <w:color w:val="000000"/>
        </w:rPr>
        <w:t xml:space="preserve">Especificación resumida de los casos de uso y requisitos funcionales que realizan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2"/>
        <w:gridCol w:w="1484"/>
        <w:gridCol w:w="1444"/>
        <w:gridCol w:w="1531"/>
        <w:gridCol w:w="1684"/>
        <w:gridCol w:w="865"/>
      </w:tblGrid>
      <w:tr>
        <w:trPr>
          <w:cantSplit/>
          <w:tblHeader/>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ID</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Caso de uso</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Actor</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Módulo</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Precondición</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Resultado</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RF</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CU-01</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orden de mantenimiento</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Técnico</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Mantenimiento</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Equipo registrado</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Orden «Registrada» con materiales requeridos</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RF-05</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CU-02</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Consultar disponibilidad</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Técnico</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Material del catálogo</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Físico, reservado, bloqueado y disponible por almacén</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RF-07</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CU-03</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Validar y priorizar orden</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Supervisor</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Mantenimiento</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Orden registrada</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Orden «Validada» con prioridad y responsable</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RF-06</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CU-04</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Reservar materiales</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Personal de almacén</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Orden validada; incluye CU-02</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Reserva «Confirmada» por el WMS o necesidad de compra</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RF-08</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CU-05</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Entregar y registrar salida</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Personal de almacén, WMS</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Reserva confirmada</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Salida confirmada con lote o serie; incluye CU-06</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RF-09, RF-10</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CU-06</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Evaluar punto de reorden</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Automático</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Salida confirmada</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Solicitud en borrador si la posición es igual o menor al ROP</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RF-13</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CU-07</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cambio de pieza</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Técnico</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Mantenimiento</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Salida confirmada</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Pieza instalada vinculada a la salida; destino de la retirada</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RF-11</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CU-08</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Cerrar orden</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Supervisor</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Mantenimiento</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Sin operaciones pendientes</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Orden «Cerrada» e historial del equipo actualizado</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RF-12</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CU-09</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Gestionar solicitud de compra</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Comprador</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Necesidad registrada</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Solicitud con cotizaciones comparadas</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RF-14, RF-15</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CU-10</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Aprobar y enviar al ERP</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Comprador, ERP</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Solicitud completa</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Número de orden de compra y fecha prometida</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RF-16</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CU-11</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recepción</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Personal de almacén, WMS</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 y Compras</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Orden de compra creada</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Cantidad aceptada ingresada; saldo pendiente si es parcial</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RF-17</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CU-12</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Consultar trazabilidad e incidencias</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Control Interno, Gerencia</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Trazabilidad</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Rol autorizado</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Recorrido completo de un material o equipo</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RF-19, RF-20, RF-22</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CU-13</w:t>
            </w:r>
          </w:p>
        </w:tc>
        <w:tc>
          <w:tcPr>
            <w:tcW w:type="dxa" w:w="165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Administrar maestros y permisos</w:t>
            </w:r>
          </w:p>
        </w:tc>
        <w:tc>
          <w:tcPr>
            <w:tcW w:type="dxa" w:w="14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Administrador</w:t>
            </w:r>
          </w:p>
        </w:tc>
        <w:tc>
          <w:tcPr>
            <w:tcW w:type="dxa" w:w="14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Datos maestros</w:t>
            </w:r>
          </w:p>
        </w:tc>
        <w:tc>
          <w:tcPr>
            <w:tcW w:type="dxa" w:w="15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Rol administrador</w:t>
            </w:r>
          </w:p>
        </w:tc>
        <w:tc>
          <w:tcPr>
            <w:tcW w:type="dxa" w:w="16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Catálogos y roles actualizados</w:t>
            </w:r>
          </w:p>
        </w:tc>
        <w:tc>
          <w:tcPr>
            <w:tcW w:type="dxa" w:w="8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RF-01 a RF-04</w:t>
            </w:r>
          </w:p>
        </w:tc>
      </w:tr>
    </w:tbl>
    <w:p>
      <w:pPr>
        <w:spacing w:after="120"/>
      </w:pPr>
    </w:p>
    <w:p>
      <w:pPr>
        <w:pStyle w:val="Heading1"/>
      </w:pPr>
      <w:r>
        <w:rPr>
          <w:rFonts w:ascii="Times New Roman" w:cs="Times New Roman" w:eastAsia="Times New Roman" w:hAnsi="Times New Roman"/>
          <w:b/>
          <w:bCs/>
          <w:color w:val="000000"/>
        </w:rPr>
        <w:t xml:space="preserve">5. Modelo de procesos y flujo de datos</w:t>
      </w:r>
    </w:p>
    <w:p>
      <w:pPr>
        <w:pStyle w:val="Heading2"/>
      </w:pPr>
      <w:r>
        <w:rPr>
          <w:rFonts w:ascii="Times New Roman" w:cs="Times New Roman" w:eastAsia="Times New Roman" w:hAnsi="Times New Roman"/>
          <w:b/>
          <w:bCs/>
          <w:color w:val="000000"/>
        </w:rPr>
        <w:t xml:space="preserve">5.1 Diagrama de contexto (nivel 0)</w:t>
      </w:r>
    </w:p>
    <w:p>
      <w:pPr>
        <w:spacing w:after="120" w:line="276"/>
        <w:jc w:val="both"/>
      </w:pPr>
      <w:r>
        <w:rPr>
          <w:rFonts w:ascii="Times New Roman" w:cs="Times New Roman" w:eastAsia="Times New Roman" w:hAnsi="Times New Roman"/>
          <w:color w:val="000000"/>
        </w:rPr>
        <w:t xml:space="preserve">El diagrama de contexto delimita el sistema: siete entidades externas lo alimentan o consumen su información. El WMS y el ERP son entidades externas porque la solución no los reemplaza.</w:t>
      </w:r>
    </w:p>
    <w:p>
      <w:pPr>
        <w:keepNext/>
        <w:spacing w:after="0" w:before="200"/>
      </w:pPr>
      <w:r>
        <w:rPr>
          <w:rFonts w:ascii="Times New Roman" w:cs="Times New Roman" w:eastAsia="Times New Roman" w:hAnsi="Times New Roman"/>
          <w:b/>
          <w:bCs/>
          <w:color w:val="000000"/>
        </w:rPr>
        <w:t xml:space="preserve">Figura 3</w:t>
      </w:r>
    </w:p>
    <w:p>
      <w:pPr>
        <w:keepNext/>
        <w:spacing w:after="100"/>
      </w:pPr>
      <w:r>
        <w:rPr>
          <w:rFonts w:ascii="Times New Roman" w:cs="Times New Roman" w:eastAsia="Times New Roman" w:hAnsi="Times New Roman"/>
          <w:i/>
          <w:iCs/>
          <w:color w:val="000000"/>
        </w:rPr>
        <w:t xml:space="preserve">Diagrama de flujo de datos, nivel 0 (contexto)</w:t>
      </w:r>
    </w:p>
    <w:p>
      <w:pPr>
        <w:keepNext/>
        <w:jc w:val="center"/>
      </w:pPr>
      <w:r>
        <w:drawing>
          <wp:inline distT="0" distB="0" distL="0" distR="0">
            <wp:extent cx="5943600" cy="38004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00475"/>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pStyle w:val="Heading2"/>
      </w:pPr>
      <w:r>
        <w:rPr>
          <w:rFonts w:ascii="Times New Roman" w:cs="Times New Roman" w:eastAsia="Times New Roman" w:hAnsi="Times New Roman"/>
          <w:b/>
          <w:bCs/>
          <w:color w:val="000000"/>
        </w:rPr>
        <w:t xml:space="preserve">5.2 Diagrama de flujo de datos de nivel 1</w:t>
      </w:r>
    </w:p>
    <w:p>
      <w:pPr>
        <w:spacing w:after="120" w:line="276"/>
        <w:jc w:val="both"/>
      </w:pPr>
      <w:r>
        <w:rPr>
          <w:rFonts w:ascii="Times New Roman" w:cs="Times New Roman" w:eastAsia="Times New Roman" w:hAnsi="Times New Roman"/>
          <w:color w:val="000000"/>
        </w:rPr>
        <w:t xml:space="preserve">El nivel 1 conserva los cinco procesos y los almacenes del análisis del sistema de mantenimiento. Se agregan el ERP, la entidad Compras, el almacén D7 de solicitudes de compra y el flujo de consumo confirmado que alimenta la revisión del punto de reorden. Los almacenes conservan la numeración del análisis: D1 y D2 pertenecen al detalle de la compra y D3 a D6 al mantenimiento.</w:t>
      </w:r>
    </w:p>
    <w:p>
      <w:pPr>
        <w:keepNext/>
        <w:spacing w:after="0" w:before="200"/>
      </w:pPr>
      <w:r>
        <w:rPr>
          <w:rFonts w:ascii="Times New Roman" w:cs="Times New Roman" w:eastAsia="Times New Roman" w:hAnsi="Times New Roman"/>
          <w:b/>
          <w:bCs/>
          <w:color w:val="000000"/>
        </w:rPr>
        <w:t xml:space="preserve">Figura 4</w:t>
      </w:r>
    </w:p>
    <w:p>
      <w:pPr>
        <w:keepNext/>
        <w:spacing w:after="100"/>
      </w:pPr>
      <w:r>
        <w:rPr>
          <w:rFonts w:ascii="Times New Roman" w:cs="Times New Roman" w:eastAsia="Times New Roman" w:hAnsi="Times New Roman"/>
          <w:i/>
          <w:iCs/>
          <w:color w:val="000000"/>
        </w:rPr>
        <w:t xml:space="preserve">Diagrama de flujo de datos, nivel 1</w:t>
      </w:r>
    </w:p>
    <w:p>
      <w:pPr>
        <w:keepNext/>
        <w:jc w:val="center"/>
      </w:pPr>
      <w:r>
        <w:drawing>
          <wp:inline distT="0" distB="0" distL="0" distR="0">
            <wp:extent cx="5943600" cy="53530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35305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Completa el diagrama del análisis del sistema de mantenimiento con el ERP, Compras y el almacén D7.</w:t>
      </w:r>
    </w:p>
    <w:p>
      <w:pPr>
        <w:keepNext/>
        <w:spacing w:after="0" w:before="200"/>
      </w:pPr>
      <w:r>
        <w:rPr>
          <w:rFonts w:ascii="Times New Roman" w:cs="Times New Roman" w:eastAsia="Times New Roman" w:hAnsi="Times New Roman"/>
          <w:b/>
          <w:bCs/>
          <w:color w:val="000000"/>
        </w:rPr>
        <w:t xml:space="preserve">Tabla 6</w:t>
      </w:r>
    </w:p>
    <w:p>
      <w:pPr>
        <w:keepNext/>
        <w:spacing w:after="100"/>
      </w:pPr>
      <w:r>
        <w:rPr>
          <w:rFonts w:ascii="Times New Roman" w:cs="Times New Roman" w:eastAsia="Times New Roman" w:hAnsi="Times New Roman"/>
          <w:i/>
          <w:iCs/>
          <w:color w:val="000000"/>
        </w:rPr>
        <w:t xml:space="preserve">Procesos del diagrama de nivel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8"/>
        <w:gridCol w:w="2292"/>
        <w:gridCol w:w="1869"/>
        <w:gridCol w:w="1750"/>
        <w:gridCol w:w="1521"/>
      </w:tblGrid>
      <w:tr>
        <w:trPr>
          <w:cantSplit/>
          <w:tblHeader/>
        </w:trPr>
        <w:tc>
          <w:tcPr>
            <w:tcW w:type="dxa" w:w="19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Proceso</w:t>
            </w:r>
          </w:p>
        </w:tc>
        <w:tc>
          <w:tcPr>
            <w:tcW w:type="dxa" w:w="22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Entrada</w:t>
            </w:r>
          </w:p>
        </w:tc>
        <w:tc>
          <w:tcPr>
            <w:tcW w:type="dxa" w:w="18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Salida</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Almacenes</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Módulo</w:t>
            </w:r>
          </w:p>
        </w:tc>
      </w:tr>
      <w:tr>
        <w:trPr>
          <w:cantSplit/>
          <w:tblHeader w:val="off"/>
        </w:trPr>
        <w:tc>
          <w:tcPr>
            <w:tcW w:type="dxa" w:w="19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1. Registrar orden de mantenimiento</w:t>
            </w:r>
          </w:p>
        </w:tc>
        <w:tc>
          <w:tcPr>
            <w:tcW w:type="dxa" w:w="22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Falla y material del técnico</w:t>
            </w:r>
          </w:p>
        </w:tc>
        <w:tc>
          <w:tcPr>
            <w:tcW w:type="dxa" w:w="18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Pedido de material</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D3, D4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w:t>
            </w:r>
          </w:p>
        </w:tc>
      </w:tr>
      <w:tr>
        <w:trPr>
          <w:cantSplit/>
          <w:tblHeader w:val="off"/>
        </w:trPr>
        <w:tc>
          <w:tcPr>
            <w:tcW w:type="dxa" w:w="19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2. Reservar repuesto</w:t>
            </w:r>
          </w:p>
        </w:tc>
        <w:tc>
          <w:tcPr>
            <w:tcW w:type="dxa" w:w="22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Pedido de material, recepción confirmada</w:t>
            </w:r>
          </w:p>
        </w:tc>
        <w:tc>
          <w:tcPr>
            <w:tcW w:type="dxa" w:w="18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 de reserva al WMS, pedido sin stock</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w:t>
            </w:r>
          </w:p>
        </w:tc>
      </w:tr>
      <w:tr>
        <w:trPr>
          <w:cantSplit/>
          <w:tblHeader w:val="off"/>
        </w:trPr>
        <w:tc>
          <w:tcPr>
            <w:tcW w:type="dxa" w:w="19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3. Gestionar compra</w:t>
            </w:r>
          </w:p>
        </w:tc>
        <w:tc>
          <w:tcPr>
            <w:tcW w:type="dxa" w:w="22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Pedido sin stock, consumo confirmado</w:t>
            </w:r>
          </w:p>
        </w:tc>
        <w:tc>
          <w:tcPr>
            <w:tcW w:type="dxa" w:w="18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 al ERP, recepción confirmada</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D7 (en el nivel 2, también D1, D2 y D4)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w:t>
            </w:r>
          </w:p>
        </w:tc>
      </w:tr>
      <w:tr>
        <w:trPr>
          <w:cantSplit/>
          <w:tblHeader w:val="off"/>
        </w:trPr>
        <w:tc>
          <w:tcPr>
            <w:tcW w:type="dxa" w:w="19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4. Entregar repuesto</w:t>
            </w:r>
          </w:p>
        </w:tc>
        <w:tc>
          <w:tcPr>
            <w:tcW w:type="dxa" w:w="22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a entregar</w:t>
            </w:r>
          </w:p>
        </w:tc>
        <w:tc>
          <w:tcPr>
            <w:tcW w:type="dxa" w:w="18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Salida registrada en el WMS, repuesto y vale</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w:t>
            </w:r>
          </w:p>
        </w:tc>
      </w:tr>
      <w:tr>
        <w:trPr>
          <w:cantSplit/>
          <w:tblHeader w:val="off"/>
        </w:trPr>
        <w:tc>
          <w:tcPr>
            <w:tcW w:type="dxa" w:w="19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5. Registrar cambio y cerrar</w:t>
            </w:r>
          </w:p>
        </w:tc>
        <w:tc>
          <w:tcPr>
            <w:tcW w:type="dxa" w:w="22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Salida confirmada, pieza retirada e instalada, verificación</w:t>
            </w:r>
          </w:p>
        </w:tc>
        <w:tc>
          <w:tcPr>
            <w:tcW w:type="dxa" w:w="18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Historial y orden cerrada</w:t>
            </w:r>
          </w:p>
        </w:tc>
        <w:tc>
          <w:tcPr>
            <w:tcW w:type="dxa" w:w="17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w:t>
            </w:r>
          </w:p>
        </w:tc>
      </w:tr>
    </w:tbl>
    <w:p>
      <w:pPr>
        <w:spacing w:after="120"/>
      </w:pPr>
    </w:p>
    <w:p>
      <w:pPr>
        <w:spacing w:after="120" w:line="276"/>
        <w:jc w:val="both"/>
      </w:pPr>
      <w:r>
        <w:rPr>
          <w:rFonts w:ascii="Times New Roman" w:cs="Times New Roman" w:eastAsia="Times New Roman" w:hAnsi="Times New Roman"/>
          <w:color w:val="000000"/>
        </w:rPr>
        <w:t xml:space="preserve">El diagrama de flujo de datos es un modelo lógico: muestra qué información circula, no con qué tecnología. Por eso el conector y la cola de operaciones no aparecen como procesos; se modelan en las secciones 7 y 8.</w:t>
      </w:r>
    </w:p>
    <w:p>
      <w:pPr>
        <w:pStyle w:val="Heading2"/>
      </w:pPr>
      <w:r>
        <w:rPr>
          <w:rFonts w:ascii="Times New Roman" w:cs="Times New Roman" w:eastAsia="Times New Roman" w:hAnsi="Times New Roman"/>
          <w:b/>
          <w:bCs/>
          <w:color w:val="000000"/>
        </w:rPr>
        <w:t xml:space="preserve">5.3 Diagrama de flujo de datos de nivel 2: Gestionar compra</w:t>
      </w:r>
    </w:p>
    <w:p>
      <w:pPr>
        <w:spacing w:after="120" w:line="276"/>
        <w:jc w:val="both"/>
      </w:pPr>
      <w:r>
        <w:rPr>
          <w:rFonts w:ascii="Times New Roman" w:cs="Times New Roman" w:eastAsia="Times New Roman" w:hAnsi="Times New Roman"/>
          <w:color w:val="000000"/>
        </w:rPr>
        <w:t xml:space="preserve">El proceso 3 se descompone para mostrar la lógica de reposición. Este nivel desarrolla la figura 1 del análisis del sistema de mantenimiento, que contenía los procesos «Generar orden de compra» y «Recibir materiales» y los almacenes de proveedores y materiales. Se conservan esos nombres, con dos ajustes del escenario de integración: la solución genera la solicitud y el ERP la orden formal, y la recepción la confirma el WMS.</w:t>
      </w:r>
    </w:p>
    <w:p>
      <w:pPr>
        <w:spacing w:after="120" w:line="276"/>
        <w:jc w:val="both"/>
      </w:pPr>
      <w:r>
        <w:rPr>
          <w:rFonts w:ascii="Times New Roman" w:cs="Times New Roman" w:eastAsia="Times New Roman" w:hAnsi="Times New Roman"/>
          <w:color w:val="000000"/>
        </w:rPr>
        <w:t xml:space="preserve">El subproceso 3.1 evalúa la posición de inventario contra el ROP. Por eso lee las solicitudes abiertas de D7: así evita generar una segunda solicitud para una compra que ya está en curso.</w:t>
      </w:r>
    </w:p>
    <w:p>
      <w:pPr>
        <w:keepNext/>
        <w:spacing w:after="0" w:before="200"/>
      </w:pPr>
      <w:r>
        <w:rPr>
          <w:rFonts w:ascii="Times New Roman" w:cs="Times New Roman" w:eastAsia="Times New Roman" w:hAnsi="Times New Roman"/>
          <w:b/>
          <w:bCs/>
          <w:color w:val="000000"/>
        </w:rPr>
        <w:t xml:space="preserve">Figura 5</w:t>
      </w:r>
    </w:p>
    <w:p>
      <w:pPr>
        <w:keepNext/>
        <w:spacing w:after="100"/>
      </w:pPr>
      <w:r>
        <w:rPr>
          <w:rFonts w:ascii="Times New Roman" w:cs="Times New Roman" w:eastAsia="Times New Roman" w:hAnsi="Times New Roman"/>
          <w:i/>
          <w:iCs/>
          <w:color w:val="000000"/>
        </w:rPr>
        <w:t xml:space="preserve">Diagrama de flujo de datos, nivel 2: proceso 3, Gestionar compra</w:t>
      </w:r>
    </w:p>
    <w:p>
      <w:pPr>
        <w:keepNext/>
        <w:jc w:val="center"/>
      </w:pPr>
      <w:r>
        <w:drawing>
          <wp:inline distT="0" distB="0" distL="0" distR="0">
            <wp:extent cx="5943600" cy="4876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87680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Desarrolla la figura 1 del análisis del sistema de mantenimiento. Los círculos punteados remiten a procesos del nivel 1.</w:t>
      </w:r>
    </w:p>
    <w:p>
      <w:pPr>
        <w:keepNext/>
        <w:spacing w:after="0" w:before="200"/>
      </w:pPr>
      <w:r>
        <w:rPr>
          <w:rFonts w:ascii="Times New Roman" w:cs="Times New Roman" w:eastAsia="Times New Roman" w:hAnsi="Times New Roman"/>
          <w:b/>
          <w:bCs/>
          <w:color w:val="000000"/>
        </w:rPr>
        <w:t xml:space="preserve">Tabla 7</w:t>
      </w:r>
    </w:p>
    <w:p>
      <w:pPr>
        <w:keepNext/>
        <w:spacing w:after="100"/>
      </w:pPr>
      <w:r>
        <w:rPr>
          <w:rFonts w:ascii="Times New Roman" w:cs="Times New Roman" w:eastAsia="Times New Roman" w:hAnsi="Times New Roman"/>
          <w:i/>
          <w:iCs/>
          <w:color w:val="000000"/>
        </w:rPr>
        <w:t xml:space="preserve">Almacenes de datos y tablas que los implementan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21"/>
        <w:gridCol w:w="3588"/>
        <w:gridCol w:w="3751"/>
      </w:tblGrid>
      <w:tr>
        <w:trPr>
          <w:cantSplit/>
          <w:tblHeader/>
        </w:trPr>
        <w:tc>
          <w:tcPr>
            <w:tcW w:type="dxa" w:w="20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Almacén</w:t>
            </w:r>
          </w:p>
        </w:tc>
        <w:tc>
          <w:tcPr>
            <w:tcW w:type="dxa" w:w="35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Contenido</w:t>
            </w:r>
          </w:p>
        </w:tc>
        <w:tc>
          <w:tcPr>
            <w:tcW w:type="dxa" w:w="37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Tablas del modelo de datos</w:t>
            </w:r>
          </w:p>
        </w:tc>
      </w:tr>
      <w:tr>
        <w:trPr>
          <w:cantSplit/>
          <w:tblHeader w:val="off"/>
        </w:trPr>
        <w:tc>
          <w:tcPr>
            <w:tcW w:type="dxa" w:w="20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D1 Proveedores</w:t>
            </w:r>
          </w:p>
        </w:tc>
        <w:tc>
          <w:tcPr>
            <w:tcW w:type="dxa" w:w="35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Proveedores, plazos e índice de cumplimiento</w:t>
            </w:r>
          </w:p>
        </w:tc>
        <w:tc>
          <w:tcPr>
            <w:tcW w:type="dxa" w:w="37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PROVEEDOR, MATERIAL_PROVEEDOR</w:t>
            </w:r>
          </w:p>
        </w:tc>
      </w:tr>
      <w:tr>
        <w:trPr>
          <w:cantSplit/>
          <w:tblHeader w:val="off"/>
        </w:trPr>
        <w:tc>
          <w:tcPr>
            <w:tcW w:type="dxa" w:w="20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D2 Materiales recibidos</w:t>
            </w:r>
          </w:p>
        </w:tc>
        <w:tc>
          <w:tcPr>
            <w:tcW w:type="dxa" w:w="35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Partes de recepción: cantidad recibida y aceptada, lote y vencimiento</w:t>
            </w:r>
          </w:p>
        </w:tc>
        <w:tc>
          <w:tcPr>
            <w:tcW w:type="dxa" w:w="37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w:t>
            </w:r>
          </w:p>
        </w:tc>
      </w:tr>
      <w:tr>
        <w:trPr>
          <w:cantSplit/>
          <w:tblHeader w:val="off"/>
        </w:trPr>
        <w:tc>
          <w:tcPr>
            <w:tcW w:type="dxa" w:w="20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D3 Órdenes de mantenimiento</w:t>
            </w:r>
          </w:p>
        </w:tc>
        <w:tc>
          <w:tcPr>
            <w:tcW w:type="dxa" w:w="35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Órdenes y materiales requeridos</w:t>
            </w:r>
          </w:p>
        </w:tc>
        <w:tc>
          <w:tcPr>
            <w:tcW w:type="dxa" w:w="37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ORDEN_MANTENIMIENTO, DETALLE_MATERIAL</w:t>
            </w:r>
          </w:p>
        </w:tc>
      </w:tr>
      <w:tr>
        <w:trPr>
          <w:cantSplit/>
          <w:tblHeader w:val="off"/>
        </w:trPr>
        <w:tc>
          <w:tcPr>
            <w:tcW w:type="dxa" w:w="20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D4 Repuestos y equipos</w:t>
            </w:r>
          </w:p>
        </w:tc>
        <w:tc>
          <w:tcPr>
            <w:tcW w:type="dxa" w:w="35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Catálogo, parámetros de reposición y compatibilidad</w:t>
            </w:r>
          </w:p>
        </w:tc>
        <w:tc>
          <w:tcPr>
            <w:tcW w:type="dxa" w:w="37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 EQUIPO, COMPATIBILIDAD, ALMACÉN, UBICACIÓN</w:t>
            </w:r>
          </w:p>
        </w:tc>
      </w:tr>
      <w:tr>
        <w:trPr>
          <w:cantSplit/>
          <w:tblHeader w:val="off"/>
        </w:trPr>
        <w:tc>
          <w:tcPr>
            <w:tcW w:type="dxa" w:w="20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D5 Reservas confirmadas</w:t>
            </w:r>
          </w:p>
        </w:tc>
        <w:tc>
          <w:tcPr>
            <w:tcW w:type="dxa" w:w="35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Reservas vigentes y su referencia en el WMS</w:t>
            </w:r>
          </w:p>
        </w:tc>
        <w:tc>
          <w:tcPr>
            <w:tcW w:type="dxa" w:w="37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w:t>
            </w:r>
          </w:p>
        </w:tc>
      </w:tr>
      <w:tr>
        <w:trPr>
          <w:cantSplit/>
          <w:tblHeader w:val="off"/>
        </w:trPr>
        <w:tc>
          <w:tcPr>
            <w:tcW w:type="dxa" w:w="20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D6 Historial</w:t>
            </w:r>
          </w:p>
        </w:tc>
        <w:tc>
          <w:tcPr>
            <w:tcW w:type="dxa" w:w="35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Cambios de pieza, movimientos confirmados y bitácora</w:t>
            </w:r>
          </w:p>
        </w:tc>
        <w:tc>
          <w:tcPr>
            <w:tcW w:type="dxa" w:w="37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CAMBIO_PIEZA, MOVIMIENTO, BITÁCORA</w:t>
            </w:r>
          </w:p>
        </w:tc>
      </w:tr>
      <w:tr>
        <w:trPr>
          <w:cantSplit/>
          <w:tblHeader w:val="off"/>
        </w:trPr>
        <w:tc>
          <w:tcPr>
            <w:tcW w:type="dxa" w:w="20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D7 Solicitudes de compra</w:t>
            </w:r>
          </w:p>
        </w:tc>
        <w:tc>
          <w:tcPr>
            <w:tcW w:type="dxa" w:w="35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Solicitudes, origen, estado y referencia a la OC del ERP</w:t>
            </w:r>
          </w:p>
        </w:tc>
        <w:tc>
          <w:tcPr>
            <w:tcW w:type="dxa" w:w="37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SOLICITUD_COMPRA, COTIZACIÓN</w:t>
            </w:r>
          </w:p>
        </w:tc>
      </w:tr>
    </w:tbl>
    <w:p>
      <w:pPr>
        <w:spacing w:after="120"/>
      </w:pPr>
    </w:p>
    <w:p>
      <w:pPr>
        <w:pStyle w:val="Heading1"/>
      </w:pPr>
      <w:r>
        <w:rPr>
          <w:rFonts w:ascii="Times New Roman" w:cs="Times New Roman" w:eastAsia="Times New Roman" w:hAnsi="Times New Roman"/>
          <w:b/>
          <w:bCs/>
          <w:color w:val="000000"/>
        </w:rPr>
        <w:t xml:space="preserve">6. Modelo de datos</w:t>
      </w:r>
    </w:p>
    <w:p>
      <w:pPr>
        <w:pStyle w:val="Heading2"/>
      </w:pPr>
      <w:r>
        <w:rPr>
          <w:rFonts w:ascii="Times New Roman" w:cs="Times New Roman" w:eastAsia="Times New Roman" w:hAnsi="Times New Roman"/>
          <w:b/>
          <w:bCs/>
          <w:color w:val="000000"/>
        </w:rPr>
        <w:t xml:space="preserve">6.1 Modelo entidad-relación</w:t>
      </w:r>
    </w:p>
    <w:p>
      <w:pPr>
        <w:spacing w:after="120" w:line="276"/>
        <w:jc w:val="both"/>
      </w:pPr>
      <w:r>
        <w:rPr>
          <w:rFonts w:ascii="Times New Roman" w:cs="Times New Roman" w:eastAsia="Times New Roman" w:hAnsi="Times New Roman"/>
          <w:color w:val="000000"/>
        </w:rPr>
        <w:t xml:space="preserve">El modelo tiene 23 tablas en PostgreSQL. La figura 6 muestra 21 de ellas (ALMACÉN y UBICACIÓN en una sola caja); PERMISO y MATERIAL_PROVEEDOR se omiten por claridad. El color indica el módulo dueño de cada tabla. Las líneas entre tablas de distinto color son los puntos de integración.</w:t>
      </w:r>
    </w:p>
    <w:p>
      <w:pPr>
        <w:keepNext/>
        <w:spacing w:after="0" w:before="200"/>
      </w:pPr>
      <w:r>
        <w:rPr>
          <w:rFonts w:ascii="Times New Roman" w:cs="Times New Roman" w:eastAsia="Times New Roman" w:hAnsi="Times New Roman"/>
          <w:b/>
          <w:bCs/>
          <w:color w:val="000000"/>
        </w:rPr>
        <w:t xml:space="preserve">Figura 6</w:t>
      </w:r>
    </w:p>
    <w:p>
      <w:pPr>
        <w:keepNext/>
        <w:spacing w:after="100"/>
      </w:pPr>
      <w:r>
        <w:rPr>
          <w:rFonts w:ascii="Times New Roman" w:cs="Times New Roman" w:eastAsia="Times New Roman" w:hAnsi="Times New Roman"/>
          <w:i/>
          <w:iCs/>
          <w:color w:val="000000"/>
        </w:rPr>
        <w:t xml:space="preserve">Modelo entidad-relación: tablas y relaciones entre módulos</w:t>
      </w:r>
    </w:p>
    <w:p>
      <w:pPr>
        <w:keepNext/>
        <w:jc w:val="center"/>
      </w:pPr>
      <w:r>
        <w:drawing>
          <wp:inline distT="0" distB="0" distL="0" distR="0">
            <wp:extent cx="5943600" cy="44005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40055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Los atributos se detallan en el diccionario de datos (sección 6.2).</w:t>
      </w:r>
    </w:p>
    <w:p>
      <w:pPr>
        <w:keepNext/>
        <w:spacing w:after="0" w:before="200"/>
      </w:pPr>
      <w:r>
        <w:rPr>
          <w:rFonts w:ascii="Times New Roman" w:cs="Times New Roman" w:eastAsia="Times New Roman" w:hAnsi="Times New Roman"/>
          <w:b/>
          <w:bCs/>
          <w:color w:val="000000"/>
        </w:rPr>
        <w:t xml:space="preserve">Tabla 8</w:t>
      </w:r>
    </w:p>
    <w:p>
      <w:pPr>
        <w:keepNext/>
        <w:spacing w:after="100"/>
      </w:pPr>
      <w:r>
        <w:rPr>
          <w:rFonts w:ascii="Times New Roman" w:cs="Times New Roman" w:eastAsia="Times New Roman" w:hAnsi="Times New Roman"/>
          <w:i/>
          <w:iCs/>
          <w:color w:val="000000"/>
        </w:rPr>
        <w:t xml:space="preserve">Puntos de integración en el modelo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2141"/>
        <w:gridCol w:w="3663"/>
      </w:tblGrid>
      <w:tr>
        <w:trPr>
          <w:cantSplit/>
          <w:tblHeader/>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Relación</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Módulos que integra</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Qué garantiza</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DETALLE_MATERIAL → RESERVA</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 Inventario</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reserva pertenece a un material requerido por una orden</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 MOVIMIENTO</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salida descuenta una reserva confirmada</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MOVIMIENTO → CAMBIO_PIEZA</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 → Mantenimiento</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pieza instalada proviene de una salida confirmada</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DETALLE_MATERIAL → SOLICITUD_COMPRA</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 Compras</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compra queda ligada a la necesidad que la originó</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 → SOLICITUD_COMPRA</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 maestros → Compras</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reposición por ROP usa los parámetros del material</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OPERACIÓN_INTEGRACIÓN → MOVIMIENTO</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 → Inventario</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Ningún movimiento se confirma sin la respuesta del WMS</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OPERACIÓN_INTEGRACIÓN → SOLICITUD_COMPRA</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 → Compras</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orden de compra solo existe si el ERP la confirma</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OPERACIÓN_INTEGRACIÓN → INCIDENCIA</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 → Alertas</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Toda falla queda registrada con su causa</w:t>
            </w:r>
          </w:p>
        </w:tc>
      </w:tr>
      <w:tr>
        <w:trPr>
          <w:cantSplit/>
          <w:tblHeader w:val="off"/>
        </w:trPr>
        <w:tc>
          <w:tcPr>
            <w:tcW w:type="dxa" w:w="355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MOVIMIENTO → CONCILIACIÓN</w:t>
            </w:r>
          </w:p>
        </w:tc>
        <w:tc>
          <w:tcPr>
            <w:tcW w:type="dxa" w:w="214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 → Integración</w:t>
            </w:r>
          </w:p>
        </w:tc>
        <w:tc>
          <w:tcPr>
            <w:tcW w:type="dxa" w:w="366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Las diferencias con el WMS se detectan y se resuelven</w:t>
            </w:r>
          </w:p>
        </w:tc>
      </w:tr>
    </w:tbl>
    <w:p>
      <w:pPr>
        <w:spacing w:after="120"/>
      </w:pPr>
    </w:p>
    <w:p>
      <w:pPr>
        <w:pStyle w:val="Heading2"/>
      </w:pPr>
      <w:r>
        <w:rPr>
          <w:rFonts w:ascii="Times New Roman" w:cs="Times New Roman" w:eastAsia="Times New Roman" w:hAnsi="Times New Roman"/>
          <w:b/>
          <w:bCs/>
          <w:color w:val="000000"/>
        </w:rPr>
        <w:t xml:space="preserve">6.2 Diccionario de datos de las tablas que integran módulos</w:t>
      </w:r>
    </w:p>
    <w:p>
      <w:pPr>
        <w:keepNext/>
        <w:spacing w:after="0" w:before="200"/>
      </w:pPr>
      <w:r>
        <w:rPr>
          <w:rFonts w:ascii="Times New Roman" w:cs="Times New Roman" w:eastAsia="Times New Roman" w:hAnsi="Times New Roman"/>
          <w:b/>
          <w:bCs/>
          <w:color w:val="000000"/>
        </w:rPr>
        <w:t xml:space="preserve">Tabla 9</w:t>
      </w:r>
    </w:p>
    <w:p>
      <w:pPr>
        <w:keepNext/>
        <w:spacing w:after="100"/>
      </w:pPr>
      <w:r>
        <w:rPr>
          <w:rFonts w:ascii="Times New Roman" w:cs="Times New Roman" w:eastAsia="Times New Roman" w:hAnsi="Times New Roman"/>
          <w:i/>
          <w:iCs/>
          <w:color w:val="000000"/>
        </w:rPr>
        <w:t xml:space="preserve">ORDEN_MANTENIMIENTO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7"/>
        <w:gridCol w:w="1320"/>
        <w:gridCol w:w="1354"/>
        <w:gridCol w:w="3839"/>
      </w:tblGrid>
      <w:tr>
        <w:trPr>
          <w:cantSplit/>
          <w:tblHeader/>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Campo</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Tipo</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Clave</w:t>
            </w: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Descripción y reglas</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id_orden</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PK</w:t>
            </w: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interno</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numero</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varchar(20)</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UK</w:t>
            </w: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Número visible de la orden</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id_equipo</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EQUIPO</w:t>
            </w: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Equipo o camión intervenido</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id_tecnico, id_supervisor</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USUARIO</w:t>
            </w: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Responsables</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tipo</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varchar(15)</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preventivo, correctivo o emergencia</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prioridad</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varchar(10)</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crítica, alta, media o normal</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falla_diagnostico</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text</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Descripción técnica</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varchar(25)</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Estados de la figura 7</w:t>
            </w:r>
          </w:p>
        </w:tc>
      </w:tr>
      <w:tr>
        <w:trPr>
          <w:cantSplit/>
          <w:tblHeader w:val="off"/>
        </w:trPr>
        <w:tc>
          <w:tcPr>
            <w:tcW w:type="dxa" w:w="28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fecha_requerida, fecha_cierre</w:t>
            </w:r>
          </w:p>
        </w:tc>
        <w:tc>
          <w:tcPr>
            <w:tcW w:type="dxa" w:w="13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timestamptz</w:t>
            </w:r>
          </w:p>
        </w:tc>
        <w:tc>
          <w:tcPr>
            <w:tcW w:type="dxa" w:w="13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cierre exige cero operaciones pendientes</w:t>
            </w:r>
          </w:p>
        </w:tc>
      </w:tr>
    </w:tbl>
    <w:p>
      <w:pPr>
        <w:spacing w:after="120"/>
      </w:pPr>
    </w:p>
    <w:p>
      <w:pPr>
        <w:keepNext/>
        <w:spacing w:after="0" w:before="200"/>
      </w:pPr>
      <w:r>
        <w:rPr>
          <w:rFonts w:ascii="Times New Roman" w:cs="Times New Roman" w:eastAsia="Times New Roman" w:hAnsi="Times New Roman"/>
          <w:b/>
          <w:bCs/>
          <w:color w:val="000000"/>
        </w:rPr>
        <w:t xml:space="preserve">Tabla 10</w:t>
      </w:r>
    </w:p>
    <w:p>
      <w:pPr>
        <w:keepNext/>
        <w:spacing w:after="100"/>
      </w:pPr>
      <w:r>
        <w:rPr>
          <w:rFonts w:ascii="Times New Roman" w:cs="Times New Roman" w:eastAsia="Times New Roman" w:hAnsi="Times New Roman"/>
          <w:i/>
          <w:iCs/>
          <w:color w:val="000000"/>
        </w:rPr>
        <w:t xml:space="preserve">DETALLE_MATERIAL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55"/>
        <w:gridCol w:w="1520"/>
        <w:gridCol w:w="2690"/>
        <w:gridCol w:w="2295"/>
      </w:tblGrid>
      <w:tr>
        <w:trPr>
          <w:cantSplit/>
          <w:tblHeader/>
        </w:trPr>
        <w:tc>
          <w:tcPr>
            <w:tcW w:type="dxa" w:w="2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Campo</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Tipo</w:t>
            </w:r>
          </w:p>
        </w:tc>
        <w:tc>
          <w:tcPr>
            <w:tcW w:type="dxa" w:w="26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Clave</w:t>
            </w:r>
          </w:p>
        </w:tc>
        <w:tc>
          <w:tcPr>
            <w:tcW w:type="dxa" w:w="22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Descripción y reglas</w:t>
            </w:r>
          </w:p>
        </w:tc>
      </w:tr>
      <w:tr>
        <w:trPr>
          <w:cantSplit/>
          <w:tblHeader w:val="off"/>
        </w:trPr>
        <w:tc>
          <w:tcPr>
            <w:tcW w:type="dxa" w:w="2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id_detalle</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6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PK</w:t>
            </w:r>
          </w:p>
        </w:tc>
        <w:tc>
          <w:tcPr>
            <w:tcW w:type="dxa" w:w="22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interno</w:t>
            </w:r>
          </w:p>
        </w:tc>
      </w:tr>
      <w:tr>
        <w:trPr>
          <w:cantSplit/>
          <w:tblHeader w:val="off"/>
        </w:trPr>
        <w:tc>
          <w:tcPr>
            <w:tcW w:type="dxa" w:w="2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id_orden</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6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ORDEN_MANTENIMIENTO</w:t>
            </w:r>
          </w:p>
        </w:tc>
        <w:tc>
          <w:tcPr>
            <w:tcW w:type="dxa" w:w="22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que requiere el material</w:t>
            </w:r>
          </w:p>
        </w:tc>
      </w:tr>
      <w:tr>
        <w:trPr>
          <w:cantSplit/>
          <w:tblHeader w:val="off"/>
        </w:trPr>
        <w:tc>
          <w:tcPr>
            <w:tcW w:type="dxa" w:w="2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id_material</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6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MATERIAL</w:t>
            </w:r>
          </w:p>
        </w:tc>
        <w:tc>
          <w:tcPr>
            <w:tcW w:type="dxa" w:w="22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Debe ser compatible con el equipo</w:t>
            </w:r>
          </w:p>
        </w:tc>
      </w:tr>
      <w:tr>
        <w:trPr>
          <w:cantSplit/>
          <w:tblHeader w:val="off"/>
        </w:trPr>
        <w:tc>
          <w:tcPr>
            <w:tcW w:type="dxa" w:w="2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cantidad_requerida</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numeric(12,3)</w:t>
            </w:r>
          </w:p>
        </w:tc>
        <w:tc>
          <w:tcPr>
            <w:tcW w:type="dxa" w:w="26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22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Mayor que cero</w:t>
            </w:r>
          </w:p>
        </w:tc>
      </w:tr>
      <w:tr>
        <w:trPr>
          <w:cantSplit/>
          <w:tblHeader w:val="off"/>
        </w:trPr>
        <w:tc>
          <w:tcPr>
            <w:tcW w:type="dxa" w:w="285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cantidad_reservada, cantidad_entregada</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numeric(12,3)</w:t>
            </w:r>
          </w:p>
        </w:tc>
        <w:tc>
          <w:tcPr>
            <w:tcW w:type="dxa" w:w="269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22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No superan la cantidad requerida</w:t>
            </w:r>
          </w:p>
        </w:tc>
      </w:tr>
    </w:tbl>
    <w:p>
      <w:pPr>
        <w:spacing w:after="120"/>
      </w:pPr>
    </w:p>
    <w:p>
      <w:pPr>
        <w:keepNext/>
        <w:spacing w:after="0" w:before="200"/>
      </w:pPr>
      <w:r>
        <w:rPr>
          <w:rFonts w:ascii="Times New Roman" w:cs="Times New Roman" w:eastAsia="Times New Roman" w:hAnsi="Times New Roman"/>
          <w:b/>
          <w:bCs/>
          <w:color w:val="000000"/>
        </w:rPr>
        <w:t xml:space="preserve">Tabla 11</w:t>
      </w:r>
    </w:p>
    <w:p>
      <w:pPr>
        <w:keepNext/>
        <w:spacing w:after="100"/>
      </w:pPr>
      <w:r>
        <w:rPr>
          <w:rFonts w:ascii="Times New Roman" w:cs="Times New Roman" w:eastAsia="Times New Roman" w:hAnsi="Times New Roman"/>
          <w:i/>
          <w:iCs/>
          <w:color w:val="000000"/>
        </w:rPr>
        <w:t xml:space="preserve">RESERVA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1520"/>
        <w:gridCol w:w="2310"/>
        <w:gridCol w:w="3810"/>
      </w:tblGrid>
      <w:tr>
        <w:trPr>
          <w:cantSplit/>
          <w:tblHeader/>
        </w:trPr>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Campo</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Tipo</w:t>
            </w:r>
          </w:p>
        </w:tc>
        <w:tc>
          <w:tcPr>
            <w:tcW w:type="dxa" w:w="23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Clave</w:t>
            </w:r>
          </w:p>
        </w:tc>
        <w:tc>
          <w:tcPr>
            <w:tcW w:type="dxa" w:w="38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Descripción y reglas</w:t>
            </w:r>
          </w:p>
        </w:tc>
      </w:tr>
      <w:tr>
        <w:trPr>
          <w:cantSplit/>
          <w:tblHeader w:val="off"/>
        </w:trPr>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id_reserva</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3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PK</w:t>
            </w:r>
          </w:p>
        </w:tc>
        <w:tc>
          <w:tcPr>
            <w:tcW w:type="dxa" w:w="38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interno</w:t>
            </w:r>
          </w:p>
        </w:tc>
      </w:tr>
      <w:tr>
        <w:trPr>
          <w:cantSplit/>
          <w:tblHeader w:val="off"/>
        </w:trPr>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id_detalle</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3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DETALLE_MATERIAL</w:t>
            </w:r>
          </w:p>
        </w:tc>
        <w:tc>
          <w:tcPr>
            <w:tcW w:type="dxa" w:w="38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Necesidad que atiende</w:t>
            </w:r>
          </w:p>
        </w:tc>
      </w:tr>
      <w:tr>
        <w:trPr>
          <w:cantSplit/>
          <w:tblHeader w:val="off"/>
        </w:trPr>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id_almacen</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3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ALMACÉN</w:t>
            </w:r>
          </w:p>
        </w:tc>
        <w:tc>
          <w:tcPr>
            <w:tcW w:type="dxa" w:w="38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donde se reserva</w:t>
            </w:r>
          </w:p>
        </w:tc>
      </w:tr>
      <w:tr>
        <w:trPr>
          <w:cantSplit/>
          <w:tblHeader w:val="off"/>
        </w:trPr>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cantidad</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numeric(12,3)</w:t>
            </w:r>
          </w:p>
        </w:tc>
        <w:tc>
          <w:tcPr>
            <w:tcW w:type="dxa" w:w="23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No supera el disponible validado por el WMS</w:t>
            </w:r>
          </w:p>
        </w:tc>
      </w:tr>
      <w:tr>
        <w:trPr>
          <w:cantSplit/>
          <w:tblHeader w:val="off"/>
        </w:trPr>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varchar(15)</w:t>
            </w:r>
          </w:p>
        </w:tc>
        <w:tc>
          <w:tcPr>
            <w:tcW w:type="dxa" w:w="23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solicitada, confirmada, rechazada, consumida o liberada</w:t>
            </w:r>
          </w:p>
        </w:tc>
      </w:tr>
      <w:tr>
        <w:trPr>
          <w:cantSplit/>
          <w:tblHeader w:val="off"/>
        </w:trPr>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ref_reserva_wms</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varchar(40)</w:t>
            </w:r>
          </w:p>
        </w:tc>
        <w:tc>
          <w:tcPr>
            <w:tcW w:type="dxa" w:w="23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devuelto por el WMS</w:t>
            </w:r>
          </w:p>
        </w:tc>
      </w:tr>
      <w:tr>
        <w:trPr>
          <w:cantSplit/>
          <w:tblHeader w:val="off"/>
        </w:trPr>
        <w:tc>
          <w:tcPr>
            <w:tcW w:type="dxa" w:w="17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vence_el</w:t>
            </w:r>
          </w:p>
        </w:tc>
        <w:tc>
          <w:tcPr>
            <w:tcW w:type="dxa" w:w="15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timestamptz</w:t>
            </w:r>
          </w:p>
        </w:tc>
        <w:tc>
          <w:tcPr>
            <w:tcW w:type="dxa" w:w="23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8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 vencer se pide confirmar el uso o liberar</w:t>
            </w:r>
          </w:p>
        </w:tc>
      </w:tr>
    </w:tbl>
    <w:p>
      <w:pPr>
        <w:spacing w:after="120"/>
      </w:pPr>
    </w:p>
    <w:p>
      <w:pPr>
        <w:keepNext/>
        <w:spacing w:after="0" w:before="200"/>
      </w:pPr>
      <w:r>
        <w:rPr>
          <w:rFonts w:ascii="Times New Roman" w:cs="Times New Roman" w:eastAsia="Times New Roman" w:hAnsi="Times New Roman"/>
          <w:b/>
          <w:bCs/>
          <w:color w:val="000000"/>
        </w:rPr>
        <w:t xml:space="preserve">Tabla 12</w:t>
      </w:r>
    </w:p>
    <w:p>
      <w:pPr>
        <w:keepNext/>
        <w:spacing w:after="100"/>
      </w:pPr>
      <w:r>
        <w:rPr>
          <w:rFonts w:ascii="Times New Roman" w:cs="Times New Roman" w:eastAsia="Times New Roman" w:hAnsi="Times New Roman"/>
          <w:i/>
          <w:iCs/>
          <w:color w:val="000000"/>
        </w:rPr>
        <w:t xml:space="preserve">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35"/>
        <w:gridCol w:w="1610"/>
        <w:gridCol w:w="2950"/>
        <w:gridCol w:w="2265"/>
      </w:tblGrid>
      <w:tr>
        <w:trPr>
          <w:cantSplit/>
          <w:tblHeader/>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Campo</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Tipo</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Clave</w:t>
            </w: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Descripción y reglas</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id_movimiento</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PK</w:t>
            </w: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interno</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tipo</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varchar(15)</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entrada, salida, devolución, transferencia, ajuste o baja</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id_material</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MATERIAL</w:t>
            </w: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 movido</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id_reserva</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RESERVA</w:t>
            </w: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Obligatorio en salidas por mantenimiento</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id_ubicacion_origen, id_ubicacion_destino</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UBICACIÓN</w:t>
            </w: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Destino obligatorio en transferencias</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cantidad</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numeric(12,3)</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Mayor que cero</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lote, serie, fecha_vencimiento</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 date</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Según el material; sustentan FEFO y PEPS</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varchar(15)</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pendiente, confirmado o rechazado</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ref_movimiento_wms</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varchar(40)</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devuelto por el WMS</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id_operacion</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uuid</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OPERACIÓN_INTEGRACIÓN</w:t>
            </w: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 que lo transmitió</w:t>
            </w:r>
          </w:p>
        </w:tc>
      </w:tr>
      <w:tr>
        <w:trPr>
          <w:cantSplit/>
          <w:tblHeader w:val="off"/>
        </w:trPr>
        <w:tc>
          <w:tcPr>
            <w:tcW w:type="dxa" w:w="2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id_usuario, fecha</w:t>
            </w:r>
          </w:p>
        </w:tc>
        <w:tc>
          <w:tcPr>
            <w:tcW w:type="dxa" w:w="16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 timestamptz</w:t>
            </w:r>
          </w:p>
        </w:tc>
        <w:tc>
          <w:tcPr>
            <w:tcW w:type="dxa" w:w="29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USUARIO</w:t>
            </w:r>
          </w:p>
        </w:tc>
        <w:tc>
          <w:tcPr>
            <w:tcW w:type="dxa" w:w="2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Quién y cuándo lo registró</w:t>
            </w:r>
          </w:p>
        </w:tc>
      </w:tr>
    </w:tbl>
    <w:p>
      <w:pPr>
        <w:spacing w:after="120"/>
      </w:pPr>
    </w:p>
    <w:p>
      <w:pPr>
        <w:keepNext/>
        <w:spacing w:after="0" w:before="200"/>
      </w:pPr>
      <w:r>
        <w:rPr>
          <w:rFonts w:ascii="Times New Roman" w:cs="Times New Roman" w:eastAsia="Times New Roman" w:hAnsi="Times New Roman"/>
          <w:b/>
          <w:bCs/>
          <w:color w:val="000000"/>
        </w:rPr>
        <w:t xml:space="preserve">Tabla 13</w:t>
      </w:r>
    </w:p>
    <w:p>
      <w:pPr>
        <w:keepNext/>
        <w:spacing w:after="100"/>
      </w:pPr>
      <w:r>
        <w:rPr>
          <w:rFonts w:ascii="Times New Roman" w:cs="Times New Roman" w:eastAsia="Times New Roman" w:hAnsi="Times New Roman"/>
          <w:i/>
          <w:iCs/>
          <w:color w:val="000000"/>
        </w:rPr>
        <w:t xml:space="preserve">SOLICITUD_COMPRA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53"/>
        <w:gridCol w:w="1542"/>
        <w:gridCol w:w="2308"/>
        <w:gridCol w:w="3257"/>
      </w:tblGrid>
      <w:tr>
        <w:trPr>
          <w:cantSplit/>
          <w:tblHeader/>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Campo</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Tipo</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Clave</w:t>
            </w: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Descripción y reglas</w:t>
            </w:r>
          </w:p>
        </w:tc>
      </w:tr>
      <w:tr>
        <w:trPr>
          <w:cantSplit/>
          <w:tblHeader w:val="off"/>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id_solicitud</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PK</w:t>
            </w: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interno</w:t>
            </w:r>
          </w:p>
        </w:tc>
      </w:tr>
      <w:tr>
        <w:trPr>
          <w:cantSplit/>
          <w:tblHeader w:val="off"/>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id_detalle</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DETALLE_MATERIAL</w:t>
            </w: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Nulo cuando el origen es el ROP</w:t>
            </w:r>
          </w:p>
        </w:tc>
      </w:tr>
      <w:tr>
        <w:trPr>
          <w:cantSplit/>
          <w:tblHeader w:val="off"/>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id_material</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MATERIAL</w:t>
            </w: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 por comprar</w:t>
            </w:r>
          </w:p>
        </w:tc>
      </w:tr>
      <w:tr>
        <w:trPr>
          <w:cantSplit/>
          <w:tblHeader w:val="off"/>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origen</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varchar(20)</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falta de stock, punto de reorden o repuesto especial</w:t>
            </w:r>
          </w:p>
        </w:tc>
      </w:tr>
      <w:tr>
        <w:trPr>
          <w:cantSplit/>
          <w:tblHeader w:val="off"/>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cantidad, metodo_cantidad</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numeric, varchar</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EOQ o hasta el máximo, según el material</w:t>
            </w:r>
          </w:p>
        </w:tc>
      </w:tr>
      <w:tr>
        <w:trPr>
          <w:cantSplit/>
          <w:tblHeader w:val="off"/>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varchar(20)</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Estados de la figura 8a</w:t>
            </w:r>
          </w:p>
        </w:tc>
      </w:tr>
      <w:tr>
        <w:trPr>
          <w:cantSplit/>
          <w:tblHeader w:val="off"/>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id_proveedor</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bigint</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FK → PROVEEDOR</w:t>
            </w: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Proveedor seleccionado</w:t>
            </w:r>
          </w:p>
        </w:tc>
      </w:tr>
      <w:tr>
        <w:trPr>
          <w:cantSplit/>
          <w:tblHeader w:val="off"/>
        </w:trPr>
        <w:tc>
          <w:tcPr>
            <w:tcW w:type="dxa" w:w="225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ref_oc_erp, fecha_prometida</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 date</w:t>
            </w:r>
          </w:p>
        </w:tc>
        <w:tc>
          <w:tcPr>
            <w:tcW w:type="dxa" w:w="23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325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Devueltos por el ERP</w:t>
            </w:r>
          </w:p>
        </w:tc>
      </w:tr>
    </w:tbl>
    <w:p>
      <w:pPr>
        <w:spacing w:after="120"/>
      </w:pPr>
    </w:p>
    <w:p>
      <w:pPr>
        <w:keepNext/>
        <w:spacing w:after="0" w:before="200"/>
      </w:pPr>
      <w:r>
        <w:rPr>
          <w:rFonts w:ascii="Times New Roman" w:cs="Times New Roman" w:eastAsia="Times New Roman" w:hAnsi="Times New Roman"/>
          <w:b/>
          <w:bCs/>
          <w:color w:val="000000"/>
        </w:rPr>
        <w:t xml:space="preserve">Tabla 14</w:t>
      </w:r>
    </w:p>
    <w:p>
      <w:pPr>
        <w:keepNext/>
        <w:spacing w:after="100"/>
      </w:pPr>
      <w:r>
        <w:rPr>
          <w:rFonts w:ascii="Times New Roman" w:cs="Times New Roman" w:eastAsia="Times New Roman" w:hAnsi="Times New Roman"/>
          <w:i/>
          <w:iCs/>
          <w:color w:val="000000"/>
        </w:rPr>
        <w:t xml:space="preserve">OPERACIÓN_INTEGRACIÓN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2"/>
        <w:gridCol w:w="1677"/>
        <w:gridCol w:w="770"/>
        <w:gridCol w:w="4331"/>
      </w:tblGrid>
      <w:tr>
        <w:trPr>
          <w:cantSplit/>
          <w:tblHeader/>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Campo</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Tipo</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Clave</w:t>
            </w: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Descripción y reglas</w:t>
            </w:r>
          </w:p>
        </w:tc>
      </w:tr>
      <w:tr>
        <w:trPr>
          <w:cantSplit/>
          <w:tblHeader w:val="off"/>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id_operacion</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uuid</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PK</w:t>
            </w: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Clave de idempotencia; se reutiliza en cada reintento</w:t>
            </w:r>
          </w:p>
        </w:tc>
      </w:tr>
      <w:tr>
        <w:trPr>
          <w:cantSplit/>
          <w:tblHeader w:val="off"/>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sistema_destino</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varchar(5)</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WMS o ERP</w:t>
            </w:r>
          </w:p>
        </w:tc>
      </w:tr>
      <w:tr>
        <w:trPr>
          <w:cantSplit/>
          <w:tblHeader w:val="off"/>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tipo</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varchar(30)</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liberación, salida, devolución, ajuste, solicitud de compra</w:t>
            </w:r>
          </w:p>
        </w:tc>
      </w:tr>
      <w:tr>
        <w:trPr>
          <w:cantSplit/>
          <w:tblHeader w:val="off"/>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entidad, id_entidad</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 bigint</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Registro de negocio que la originó</w:t>
            </w:r>
          </w:p>
        </w:tc>
      </w:tr>
      <w:tr>
        <w:trPr>
          <w:cantSplit/>
          <w:tblHeader w:val="off"/>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contenido</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jsonb</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Mensaje enviado</w:t>
            </w:r>
          </w:p>
        </w:tc>
      </w:tr>
      <w:tr>
        <w:trPr>
          <w:cantSplit/>
          <w:tblHeader w:val="off"/>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varchar(15)</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Estados de la figura 8b</w:t>
            </w:r>
          </w:p>
        </w:tc>
      </w:tr>
      <w:tr>
        <w:trPr>
          <w:cantSplit/>
          <w:tblHeader w:val="off"/>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intentos, proximo_intento</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 timestamptz</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Control de reintentos</w:t>
            </w:r>
          </w:p>
        </w:tc>
      </w:tr>
      <w:tr>
        <w:trPr>
          <w:cantSplit/>
          <w:tblHeader w:val="off"/>
        </w:trPr>
        <w:tc>
          <w:tcPr>
            <w:tcW w:type="dxa" w:w="258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respuesta, fecha_confirmacion</w:t>
            </w:r>
          </w:p>
        </w:tc>
        <w:tc>
          <w:tcPr>
            <w:tcW w:type="dxa" w:w="16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jsonb, timestamptz</w:t>
            </w:r>
          </w:p>
        </w:tc>
        <w:tc>
          <w:tcPr>
            <w:tcW w:type="dxa" w:w="77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p>
        </w:tc>
        <w:tc>
          <w:tcPr>
            <w:tcW w:type="dxa" w:w="433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Respuesta del sistema responsable</w:t>
            </w:r>
          </w:p>
        </w:tc>
      </w:tr>
    </w:tbl>
    <w:p>
      <w:pPr>
        <w:spacing w:after="120"/>
      </w:pPr>
    </w:p>
    <w:p>
      <w:pPr>
        <w:keepNext/>
        <w:spacing w:after="0" w:before="200"/>
      </w:pPr>
      <w:r>
        <w:rPr>
          <w:rFonts w:ascii="Times New Roman" w:cs="Times New Roman" w:eastAsia="Times New Roman" w:hAnsi="Times New Roman"/>
          <w:b/>
          <w:bCs/>
          <w:color w:val="000000"/>
        </w:rPr>
        <w:t xml:space="preserve">Tabla 15</w:t>
      </w:r>
    </w:p>
    <w:p>
      <w:pPr>
        <w:keepNext/>
        <w:spacing w:after="100"/>
      </w:pPr>
      <w:r>
        <w:rPr>
          <w:rFonts w:ascii="Times New Roman" w:cs="Times New Roman" w:eastAsia="Times New Roman" w:hAnsi="Times New Roman"/>
          <w:i/>
          <w:iCs/>
          <w:color w:val="000000"/>
        </w:rPr>
        <w:t xml:space="preserve">Resumen de las demás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39"/>
        <w:gridCol w:w="1577"/>
        <w:gridCol w:w="4844"/>
      </w:tblGrid>
      <w:tr>
        <w:trPr>
          <w:cantSplit/>
          <w:tblHeader/>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Tabla</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Módulo</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Campos principales</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 maestros</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(UK), descripción, unidad, categoría, criticidad, controla lote, serie y vencimiento, stock de seguridad, ROP, mínimo, máximo, método de reposición</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EQUIPO</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 maestros</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(UK), tipo, modelo, placa, ubicación, kilometraje u horas</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COMPATIBILIDAD</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 maestros</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id_material y id_equipo (clave compuesta)</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PROVEEDOR y MATERIAL_PROVEEDOR</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 maestros</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NIT (UK), razón social, plazo de entrega, índice de cumplimiento; proveedor habitual por material</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ALMACÉN y UBICACIÓN</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 maestros</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ciudad; zona, pasillo, estante y posición</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USUARIO, ROL y PERMISO</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Seguridad</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usuario, rol, permisos de consulta, registro, aprobación y administración</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CAMBIO_PIEZA</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movimiento de salida, pieza retirada (código, serie, condición, destino), serie instalada, técnico, fecha</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COTIZACIÓN</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 proveedor, precio, moneda, plazo, garantía, vigencia</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 cantidad recibida, aceptada y rechazada, lote, serie, vencimiento, ref. de ingreso del WMS</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ALERTA</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Alertas</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tipo, prioridad, entidad y su id, rol destino, estado</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BITÁCORA</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Trazabilidad</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usuario, fecha, entidad, acción, valor anterior, valor nuevo, motivo (solo inserción)</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INCIDENCIA</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 código de causa, descripción, estado, responsable</w:t>
            </w:r>
          </w:p>
        </w:tc>
      </w:tr>
      <w:tr>
        <w:trPr>
          <w:cantSplit/>
          <w:tblHeader w:val="off"/>
        </w:trPr>
        <w:tc>
          <w:tcPr>
            <w:tcW w:type="dxa" w:w="29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CONCILIACIÓN</w:t>
            </w:r>
          </w:p>
        </w:tc>
        <w:tc>
          <w:tcPr>
            <w:tcW w:type="dxa" w:w="157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w:t>
            </w:r>
          </w:p>
        </w:tc>
        <w:tc>
          <w:tcPr>
            <w:tcW w:type="dxa" w:w="484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movimiento, tipo de diferencia, resolución, fecha de corte</w:t>
            </w:r>
          </w:p>
        </w:tc>
      </w:tr>
    </w:tbl>
    <w:p>
      <w:pPr>
        <w:spacing w:after="120"/>
      </w:pPr>
    </w:p>
    <w:p>
      <w:pPr>
        <w:pStyle w:val="Heading2"/>
      </w:pPr>
      <w:r>
        <w:rPr>
          <w:rFonts w:ascii="Times New Roman" w:cs="Times New Roman" w:eastAsia="Times New Roman" w:hAnsi="Times New Roman"/>
          <w:b/>
          <w:bCs/>
          <w:color w:val="000000"/>
        </w:rPr>
        <w:t xml:space="preserve">6.3 Reglas de integridad y valores calculados</w:t>
      </w:r>
    </w:p>
    <w:p>
      <w:pPr>
        <w:keepNext/>
        <w:spacing w:after="0" w:before="200"/>
      </w:pPr>
      <w:r>
        <w:rPr>
          <w:rFonts w:ascii="Times New Roman" w:cs="Times New Roman" w:eastAsia="Times New Roman" w:hAnsi="Times New Roman"/>
          <w:b/>
          <w:bCs/>
          <w:color w:val="000000"/>
        </w:rPr>
        <w:t xml:space="preserve">Tabla 16</w:t>
      </w:r>
    </w:p>
    <w:p>
      <w:pPr>
        <w:keepNext/>
        <w:spacing w:after="100"/>
      </w:pPr>
      <w:r>
        <w:rPr>
          <w:rFonts w:ascii="Times New Roman" w:cs="Times New Roman" w:eastAsia="Times New Roman" w:hAnsi="Times New Roman"/>
          <w:i/>
          <w:iCs/>
          <w:color w:val="000000"/>
        </w:rPr>
        <w:t xml:space="preserve">Valores calculados que usa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15"/>
        <w:gridCol w:w="4007"/>
        <w:gridCol w:w="3238"/>
      </w:tblGrid>
      <w:tr>
        <w:trPr>
          <w:cantSplit/>
          <w:tblHeader/>
        </w:trPr>
        <w:tc>
          <w:tcPr>
            <w:tcW w:type="dxa" w:w="21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Valor</w:t>
            </w:r>
          </w:p>
        </w:tc>
        <w:tc>
          <w:tcPr>
            <w:tcW w:type="dxa" w:w="40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Cálculo</w:t>
            </w:r>
          </w:p>
        </w:tc>
        <w:tc>
          <w:tcPr>
            <w:tcW w:type="dxa" w:w="32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Dónde se usa</w:t>
            </w:r>
          </w:p>
        </w:tc>
      </w:tr>
      <w:tr>
        <w:trPr>
          <w:cantSplit/>
          <w:tblHeader w:val="off"/>
        </w:trPr>
        <w:tc>
          <w:tcPr>
            <w:tcW w:type="dxa" w:w="21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Stock disponible</w:t>
            </w:r>
          </w:p>
        </w:tc>
        <w:tc>
          <w:tcPr>
            <w:tcW w:type="dxa" w:w="40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físico − reservado − bloqueado (datos del WMS, por material y ubicación)</w:t>
            </w:r>
          </w:p>
        </w:tc>
        <w:tc>
          <w:tcPr>
            <w:tcW w:type="dxa" w:w="32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CU-02 y CU-04</w:t>
            </w:r>
          </w:p>
        </w:tc>
      </w:tr>
      <w:tr>
        <w:trPr>
          <w:cantSplit/>
          <w:tblHeader w:val="off"/>
        </w:trPr>
        <w:tc>
          <w:tcPr>
            <w:tcW w:type="dxa" w:w="21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Posición de inventario</w:t>
            </w:r>
          </w:p>
        </w:tc>
        <w:tc>
          <w:tcPr>
            <w:tcW w:type="dxa" w:w="40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disponible + compras confirmadas por recibir − requerimientos aprobados no reservados</w:t>
            </w:r>
          </w:p>
        </w:tc>
        <w:tc>
          <w:tcPr>
            <w:tcW w:type="dxa" w:w="32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Proceso 3.1</w:t>
            </w:r>
          </w:p>
        </w:tc>
      </w:tr>
      <w:tr>
        <w:trPr>
          <w:cantSplit/>
          <w:tblHeader w:val="off"/>
        </w:trPr>
        <w:tc>
          <w:tcPr>
            <w:tcW w:type="dxa" w:w="21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Punto de reorden</w:t>
            </w:r>
          </w:p>
        </w:tc>
        <w:tc>
          <w:tcPr>
            <w:tcW w:type="dxa" w:w="40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ROP = (d × L) + SS</w:t>
            </w:r>
          </w:p>
        </w:tc>
        <w:tc>
          <w:tcPr>
            <w:tcW w:type="dxa" w:w="32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MATERIAL.rop, recalculado en el proceso nocturno</w:t>
            </w:r>
          </w:p>
        </w:tc>
      </w:tr>
      <w:tr>
        <w:trPr>
          <w:cantSplit/>
          <w:tblHeader w:val="off"/>
        </w:trPr>
        <w:tc>
          <w:tcPr>
            <w:tcW w:type="dxa" w:w="21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Stock de seguridad</w:t>
            </w:r>
          </w:p>
        </w:tc>
        <w:tc>
          <w:tcPr>
            <w:tcW w:type="dxa" w:w="40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SS = Z × σd × √L, con Z según la criticidad</w:t>
            </w:r>
          </w:p>
        </w:tc>
        <w:tc>
          <w:tcPr>
            <w:tcW w:type="dxa" w:w="32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MATERIAL.ss, recalculado en el proceso nocturno</w:t>
            </w:r>
          </w:p>
        </w:tc>
      </w:tr>
      <w:tr>
        <w:trPr>
          <w:cantSplit/>
          <w:tblHeader w:val="off"/>
        </w:trPr>
        <w:tc>
          <w:tcPr>
            <w:tcW w:type="dxa" w:w="21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Cantidad por comprar</w:t>
            </w:r>
          </w:p>
        </w:tc>
        <w:tc>
          <w:tcPr>
            <w:tcW w:type="dxa" w:w="40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EOQ = √(2DS ÷ H) si hay datos confiables; si no, máximo − posición</w:t>
            </w:r>
          </w:p>
        </w:tc>
        <w:tc>
          <w:tcPr>
            <w:tcW w:type="dxa" w:w="32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Proceso 3.2</w:t>
            </w:r>
          </w:p>
        </w:tc>
      </w:tr>
      <w:tr>
        <w:trPr>
          <w:cantSplit/>
          <w:tblHeader w:val="off"/>
        </w:trPr>
        <w:tc>
          <w:tcPr>
            <w:tcW w:type="dxa" w:w="211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Costo de materiales de la orden</w:t>
            </w:r>
          </w:p>
        </w:tc>
        <w:tc>
          <w:tcPr>
            <w:tcW w:type="dxa" w:w="40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cantidad entregada × CPP vigente del ERP</w:t>
            </w:r>
          </w:p>
        </w:tc>
        <w:tc>
          <w:tcPr>
            <w:tcW w:type="dxa" w:w="323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Historial del equipo</w:t>
            </w:r>
          </w:p>
        </w:tc>
      </w:tr>
    </w:tbl>
    <w:p>
      <w:pPr>
        <w:spacing w:after="120"/>
      </w:pPr>
    </w:p>
    <w:p>
      <w:pPr>
        <w:spacing w:after="120" w:line="276"/>
        <w:jc w:val="both"/>
      </w:pPr>
      <w:r>
        <w:rPr>
          <w:rFonts w:ascii="Times New Roman" w:cs="Times New Roman" w:eastAsia="Times New Roman" w:hAnsi="Times New Roman"/>
          <w:color w:val="000000"/>
        </w:rPr>
        <w:t xml:space="preserve">Ejemplos ilustrativos de la fase conceptual: con d = 2 filtros por día, L = 10 días y SS = 5 filtros, el ROP es de 25 filtros; con D = 730, S = Bs 150 y H = Bs 20, la EOQ es de unos 105 filtros. No representan consumos ni costos reales de YPFB Transporte.</w:t>
      </w:r>
    </w:p>
    <w:p>
      <w:pPr>
        <w:spacing w:after="120" w:line="276"/>
        <w:jc w:val="both"/>
      </w:pPr>
      <w:r>
        <w:rPr>
          <w:rFonts w:ascii="Times New Roman" w:cs="Times New Roman" w:eastAsia="Times New Roman" w:hAnsi="Times New Roman"/>
          <w:b/>
          <w:bCs/>
          <w:color w:val="000000"/>
        </w:rPr>
        <w:t xml:space="preserve">Reglas de integridad:</w:t>
      </w:r>
    </w:p>
    <w:p>
      <w:pPr>
        <w:pStyle w:val="ListParagraph"/>
        <w:numPr>
          <w:ilvl w:val="0"/>
          <w:numId w:val="3"/>
        </w:numPr>
        <w:spacing w:after="60" w:line="276"/>
        <w:jc w:val="both"/>
      </w:pPr>
      <w:r>
        <w:rPr>
          <w:rFonts w:ascii="Times New Roman" w:cs="Times New Roman" w:eastAsia="Times New Roman" w:hAnsi="Times New Roman"/>
          <w:color w:val="000000"/>
        </w:rPr>
        <w:t xml:space="preserve">Una reserva o salida no se confirma si supera la cantidad disponible validada por el WMS.</w:t>
      </w:r>
    </w:p>
    <w:p>
      <w:pPr>
        <w:pStyle w:val="ListParagraph"/>
        <w:numPr>
          <w:ilvl w:val="0"/>
          <w:numId w:val="3"/>
        </w:numPr>
        <w:spacing w:after="60" w:line="276"/>
        <w:jc w:val="both"/>
      </w:pPr>
      <w:r>
        <w:rPr>
          <w:rFonts w:ascii="Times New Roman" w:cs="Times New Roman" w:eastAsia="Times New Roman" w:hAnsi="Times New Roman"/>
          <w:color w:val="000000"/>
        </w:rPr>
        <w:t xml:space="preserve">Una misma unidad o número de serie no se asigna a dos órdenes.</w:t>
      </w:r>
    </w:p>
    <w:p>
      <w:pPr>
        <w:pStyle w:val="ListParagraph"/>
        <w:numPr>
          <w:ilvl w:val="0"/>
          <w:numId w:val="3"/>
        </w:numPr>
        <w:spacing w:after="60" w:line="276"/>
        <w:jc w:val="both"/>
      </w:pPr>
      <w:r>
        <w:rPr>
          <w:rFonts w:ascii="Times New Roman" w:cs="Times New Roman" w:eastAsia="Times New Roman" w:hAnsi="Times New Roman"/>
          <w:color w:val="000000"/>
        </w:rPr>
        <w:t xml:space="preserve">No se entregan materiales bloqueados, vencidos o incompatibles con el equipo.</w:t>
      </w:r>
    </w:p>
    <w:p>
      <w:pPr>
        <w:pStyle w:val="ListParagraph"/>
        <w:numPr>
          <w:ilvl w:val="0"/>
          <w:numId w:val="3"/>
        </w:numPr>
        <w:spacing w:after="60" w:line="276"/>
        <w:jc w:val="both"/>
      </w:pPr>
      <w:r>
        <w:rPr>
          <w:rFonts w:ascii="Times New Roman" w:cs="Times New Roman" w:eastAsia="Times New Roman" w:hAnsi="Times New Roman"/>
          <w:color w:val="000000"/>
        </w:rPr>
        <w:t xml:space="preserve">Toda salida por mantenimiento referencia una reserva; todo cambio de pieza, una salida confirmada.</w:t>
      </w:r>
    </w:p>
    <w:p>
      <w:pPr>
        <w:pStyle w:val="ListParagraph"/>
        <w:numPr>
          <w:ilvl w:val="0"/>
          <w:numId w:val="3"/>
        </w:numPr>
        <w:spacing w:after="60" w:line="276"/>
        <w:jc w:val="both"/>
      </w:pPr>
      <w:r>
        <w:rPr>
          <w:rFonts w:ascii="Times New Roman" w:cs="Times New Roman" w:eastAsia="Times New Roman" w:hAnsi="Times New Roman"/>
          <w:color w:val="000000"/>
        </w:rPr>
        <w:t xml:space="preserve">Una orden no se cierra con movimientos u operaciones pendientes de confirmación.</w:t>
      </w:r>
    </w:p>
    <w:p>
      <w:pPr>
        <w:pStyle w:val="ListParagraph"/>
        <w:numPr>
          <w:ilvl w:val="0"/>
          <w:numId w:val="3"/>
        </w:numPr>
        <w:spacing w:after="60" w:line="276"/>
        <w:jc w:val="both"/>
      </w:pPr>
      <w:r>
        <w:rPr>
          <w:rFonts w:ascii="Times New Roman" w:cs="Times New Roman" w:eastAsia="Times New Roman" w:hAnsi="Times New Roman"/>
          <w:color w:val="000000"/>
        </w:rPr>
        <w:t xml:space="preserve">Cada operación de integración tiene un identificador único; un mensaje repetido no genera un segundo movimiento.</w:t>
      </w:r>
    </w:p>
    <w:p>
      <w:pPr>
        <w:pStyle w:val="ListParagraph"/>
        <w:numPr>
          <w:ilvl w:val="0"/>
          <w:numId w:val="3"/>
        </w:numPr>
        <w:spacing w:after="60" w:line="276"/>
        <w:jc w:val="both"/>
      </w:pPr>
      <w:r>
        <w:rPr>
          <w:rFonts w:ascii="Times New Roman" w:cs="Times New Roman" w:eastAsia="Times New Roman" w:hAnsi="Times New Roman"/>
          <w:color w:val="000000"/>
        </w:rPr>
        <w:t xml:space="preserve">La bitácora solo admite inserciones.</w:t>
      </w:r>
    </w:p>
    <w:p>
      <w:pPr>
        <w:spacing w:after="60"/>
      </w:pPr>
    </w:p>
    <w:p>
      <w:pPr>
        <w:pStyle w:val="Heading1"/>
      </w:pPr>
      <w:r>
        <w:rPr>
          <w:rFonts w:ascii="Times New Roman" w:cs="Times New Roman" w:eastAsia="Times New Roman" w:hAnsi="Times New Roman"/>
          <w:b/>
          <w:bCs/>
          <w:color w:val="000000"/>
        </w:rPr>
        <w:t xml:space="preserve">7. Modelo de comportamiento</w:t>
      </w:r>
    </w:p>
    <w:p>
      <w:pPr>
        <w:pStyle w:val="Heading2"/>
      </w:pPr>
      <w:r>
        <w:rPr>
          <w:rFonts w:ascii="Times New Roman" w:cs="Times New Roman" w:eastAsia="Times New Roman" w:hAnsi="Times New Roman"/>
          <w:b/>
          <w:bCs/>
          <w:color w:val="000000"/>
        </w:rPr>
        <w:t xml:space="preserve">7.1 Diagramas de estados</w:t>
      </w:r>
    </w:p>
    <w:p>
      <w:pPr>
        <w:spacing w:after="120" w:line="276"/>
        <w:jc w:val="both"/>
      </w:pPr>
      <w:r>
        <w:rPr>
          <w:rFonts w:ascii="Times New Roman" w:cs="Times New Roman" w:eastAsia="Times New Roman" w:hAnsi="Times New Roman"/>
          <w:color w:val="000000"/>
        </w:rPr>
        <w:t xml:space="preserve">Los estados son el lenguaje común entre módulos: cada módulo cambia el estado de su propio objeto y los demás reaccionan a ese cambio. La orden de mantenimiento depende del estado de la reserva, y la reserva depende de la operación de integración.</w:t>
      </w:r>
    </w:p>
    <w:p>
      <w:pPr>
        <w:keepNext/>
        <w:spacing w:after="0" w:before="200"/>
      </w:pPr>
      <w:r>
        <w:rPr>
          <w:rFonts w:ascii="Times New Roman" w:cs="Times New Roman" w:eastAsia="Times New Roman" w:hAnsi="Times New Roman"/>
          <w:b/>
          <w:bCs/>
          <w:color w:val="000000"/>
        </w:rPr>
        <w:t xml:space="preserve">Figura 7</w:t>
      </w:r>
    </w:p>
    <w:p>
      <w:pPr>
        <w:keepNext/>
        <w:spacing w:after="100"/>
      </w:pPr>
      <w:r>
        <w:rPr>
          <w:rFonts w:ascii="Times New Roman" w:cs="Times New Roman" w:eastAsia="Times New Roman" w:hAnsi="Times New Roman"/>
          <w:i/>
          <w:iCs/>
          <w:color w:val="000000"/>
        </w:rPr>
        <w:t xml:space="preserve">Diagramas de estados de la orden de mantenimiento y de la reserva</w:t>
      </w:r>
    </w:p>
    <w:p>
      <w:pPr>
        <w:keepNext/>
        <w:jc w:val="center"/>
      </w:pPr>
      <w:r>
        <w:drawing>
          <wp:inline distT="0" distB="0" distL="0" distR="0">
            <wp:extent cx="5943600" cy="42672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26720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keepNext/>
        <w:spacing w:after="0" w:before="200"/>
      </w:pPr>
      <w:r>
        <w:rPr>
          <w:rFonts w:ascii="Times New Roman" w:cs="Times New Roman" w:eastAsia="Times New Roman" w:hAnsi="Times New Roman"/>
          <w:b/>
          <w:bCs/>
          <w:color w:val="000000"/>
        </w:rPr>
        <w:t xml:space="preserve">Figura 8</w:t>
      </w:r>
    </w:p>
    <w:p>
      <w:pPr>
        <w:keepNext/>
        <w:spacing w:after="100"/>
      </w:pPr>
      <w:r>
        <w:rPr>
          <w:rFonts w:ascii="Times New Roman" w:cs="Times New Roman" w:eastAsia="Times New Roman" w:hAnsi="Times New Roman"/>
          <w:i/>
          <w:iCs/>
          <w:color w:val="000000"/>
        </w:rPr>
        <w:t xml:space="preserve">Diagramas de estados de la solicitud de compra y de la operación de integración</w:t>
      </w:r>
    </w:p>
    <w:p>
      <w:pPr>
        <w:keepNext/>
        <w:jc w:val="center"/>
      </w:pPr>
      <w:r>
        <w:drawing>
          <wp:inline distT="0" distB="0" distL="0" distR="0">
            <wp:extent cx="5943600" cy="5029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02920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keepNext/>
        <w:spacing w:after="0" w:before="200"/>
      </w:pPr>
      <w:r>
        <w:rPr>
          <w:rFonts w:ascii="Times New Roman" w:cs="Times New Roman" w:eastAsia="Times New Roman" w:hAnsi="Times New Roman"/>
          <w:b/>
          <w:bCs/>
          <w:color w:val="000000"/>
        </w:rPr>
        <w:t xml:space="preserve">Tabla 17</w:t>
      </w:r>
    </w:p>
    <w:p>
      <w:pPr>
        <w:keepNext/>
        <w:spacing w:after="100"/>
      </w:pPr>
      <w:r>
        <w:rPr>
          <w:rFonts w:ascii="Times New Roman" w:cs="Times New Roman" w:eastAsia="Times New Roman" w:hAnsi="Times New Roman"/>
          <w:i/>
          <w:iCs/>
          <w:color w:val="000000"/>
        </w:rPr>
        <w:t xml:space="preserve">Reglas de transición que conectan módulos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4"/>
        <w:gridCol w:w="3408"/>
        <w:gridCol w:w="2828"/>
      </w:tblGrid>
      <w:tr>
        <w:trPr>
          <w:cantSplit/>
          <w:tblHeader/>
        </w:trPr>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Transición</w:t>
            </w:r>
          </w:p>
        </w:tc>
        <w:tc>
          <w:tcPr>
            <w:tcW w:type="dxa" w:w="34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Disparada por</w:t>
            </w:r>
          </w:p>
        </w:tc>
        <w:tc>
          <w:tcPr>
            <w:tcW w:type="dxa" w:w="28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Módulo afectado</w:t>
            </w:r>
          </w:p>
        </w:tc>
      </w:tr>
      <w:tr>
        <w:trPr>
          <w:cantSplit/>
          <w:tblHeader w:val="off"/>
        </w:trPr>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Validada → Materiales reservados</w:t>
            </w:r>
          </w:p>
        </w:tc>
        <w:tc>
          <w:tcPr>
            <w:tcW w:type="dxa" w:w="34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«Confirmada»</w:t>
            </w:r>
          </w:p>
        </w:tc>
        <w:tc>
          <w:tcPr>
            <w:tcW w:type="dxa" w:w="28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reacciona a Inventario</w:t>
            </w:r>
          </w:p>
        </w:tc>
      </w:tr>
      <w:tr>
        <w:trPr>
          <w:cantSplit/>
          <w:tblHeader w:val="off"/>
        </w:trPr>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Validada → En espera de repuestos</w:t>
            </w:r>
          </w:p>
        </w:tc>
        <w:tc>
          <w:tcPr>
            <w:tcW w:type="dxa" w:w="34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«Rechazada» por stock insuficiente</w:t>
            </w:r>
          </w:p>
        </w:tc>
        <w:tc>
          <w:tcPr>
            <w:tcW w:type="dxa" w:w="28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e Inventario → Compras</w:t>
            </w:r>
          </w:p>
        </w:tc>
      </w:tr>
      <w:tr>
        <w:trPr>
          <w:cantSplit/>
          <w:tblHeader w:val="off"/>
        </w:trPr>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En espera → Materiales reservados</w:t>
            </w:r>
          </w:p>
        </w:tc>
        <w:tc>
          <w:tcPr>
            <w:tcW w:type="dxa" w:w="34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 «Recibida» y nueva reserva confirmada</w:t>
            </w:r>
          </w:p>
        </w:tc>
        <w:tc>
          <w:tcPr>
            <w:tcW w:type="dxa" w:w="28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 Inventario → Mantenimiento</w:t>
            </w:r>
          </w:p>
        </w:tc>
      </w:tr>
      <w:tr>
        <w:trPr>
          <w:cantSplit/>
          <w:tblHeader w:val="off"/>
        </w:trPr>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Pendiente de verificación → Cerrada</w:t>
            </w:r>
          </w:p>
        </w:tc>
        <w:tc>
          <w:tcPr>
            <w:tcW w:type="dxa" w:w="34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Ninguna operación de integración pendiente</w:t>
            </w:r>
          </w:p>
        </w:tc>
        <w:tc>
          <w:tcPr>
            <w:tcW w:type="dxa" w:w="28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Mantenimiento consulta Integración</w:t>
            </w:r>
          </w:p>
        </w:tc>
      </w:tr>
      <w:tr>
        <w:trPr>
          <w:cantSplit/>
          <w:tblHeader w:val="off"/>
        </w:trPr>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Solicitada → Confirmada</w:t>
            </w:r>
          </w:p>
        </w:tc>
        <w:tc>
          <w:tcPr>
            <w:tcW w:type="dxa" w:w="34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 de integración «Confirmada»</w:t>
            </w:r>
          </w:p>
        </w:tc>
        <w:tc>
          <w:tcPr>
            <w:tcW w:type="dxa" w:w="28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Inventario reacciona a Integración</w:t>
            </w:r>
          </w:p>
        </w:tc>
      </w:tr>
      <w:tr>
        <w:trPr>
          <w:cantSplit/>
          <w:tblHeader w:val="off"/>
        </w:trPr>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 Aprobada → Enviada al ERP</w:t>
            </w:r>
          </w:p>
        </w:tc>
        <w:tc>
          <w:tcPr>
            <w:tcW w:type="dxa" w:w="34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 de integración «Confirmada»</w:t>
            </w:r>
          </w:p>
        </w:tc>
        <w:tc>
          <w:tcPr>
            <w:tcW w:type="dxa" w:w="28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Compras reacciona a Integración</w:t>
            </w:r>
          </w:p>
        </w:tc>
      </w:tr>
      <w:tr>
        <w:trPr>
          <w:cantSplit/>
          <w:tblHeader w:val="off"/>
        </w:trPr>
        <w:tc>
          <w:tcPr>
            <w:tcW w:type="dxa" w:w="312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 En reintento → Incidencia</w:t>
            </w:r>
          </w:p>
        </w:tc>
        <w:tc>
          <w:tcPr>
            <w:tcW w:type="dxa" w:w="340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 supera el límite de reintentos</w:t>
            </w:r>
          </w:p>
        </w:tc>
        <w:tc>
          <w:tcPr>
            <w:tcW w:type="dxa" w:w="28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Integración → Alertas</w:t>
            </w:r>
          </w:p>
        </w:tc>
      </w:tr>
    </w:tbl>
    <w:p>
      <w:pPr>
        <w:spacing w:after="120"/>
      </w:pPr>
    </w:p>
    <w:p>
      <w:pPr>
        <w:pStyle w:val="Heading2"/>
      </w:pPr>
      <w:r>
        <w:rPr>
          <w:rFonts w:ascii="Times New Roman" w:cs="Times New Roman" w:eastAsia="Times New Roman" w:hAnsi="Times New Roman"/>
          <w:b/>
          <w:bCs/>
          <w:color w:val="000000"/>
        </w:rPr>
        <w:t xml:space="preserve">7.2 Diagramas de secuencia</w:t>
      </w:r>
    </w:p>
    <w:p>
      <w:pPr>
        <w:spacing w:after="120" w:line="276"/>
        <w:jc w:val="both"/>
      </w:pPr>
      <w:r>
        <w:rPr>
          <w:rFonts w:ascii="Times New Roman" w:cs="Times New Roman" w:eastAsia="Times New Roman" w:hAnsi="Times New Roman"/>
          <w:color w:val="000000"/>
        </w:rPr>
        <w:t xml:space="preserve">Las secuencias muestran la colaboración entre módulos en el tiempo. La primera cubre el caso normal: reserva con stock y entrega.</w:t>
      </w:r>
    </w:p>
    <w:p>
      <w:pPr>
        <w:keepNext/>
        <w:spacing w:after="0" w:before="200"/>
      </w:pPr>
      <w:r>
        <w:rPr>
          <w:rFonts w:ascii="Times New Roman" w:cs="Times New Roman" w:eastAsia="Times New Roman" w:hAnsi="Times New Roman"/>
          <w:b/>
          <w:bCs/>
          <w:color w:val="000000"/>
        </w:rPr>
        <w:t xml:space="preserve">Figura 9</w:t>
      </w:r>
    </w:p>
    <w:p>
      <w:pPr>
        <w:keepNext/>
        <w:spacing w:after="100"/>
      </w:pPr>
      <w:r>
        <w:rPr>
          <w:rFonts w:ascii="Times New Roman" w:cs="Times New Roman" w:eastAsia="Times New Roman" w:hAnsi="Times New Roman"/>
          <w:i/>
          <w:iCs/>
          <w:color w:val="000000"/>
        </w:rPr>
        <w:t xml:space="preserve">Secuencia 1: reserva con stock y entrega del repuesto</w:t>
      </w:r>
    </w:p>
    <w:p>
      <w:pPr>
        <w:keepNext/>
        <w:jc w:val="center"/>
      </w:pPr>
      <w:r>
        <w:drawing>
          <wp:inline distT="0" distB="0" distL="0" distR="0">
            <wp:extent cx="5943600" cy="42100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21005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Las flechas punteadas son respuestas.</w:t>
      </w:r>
    </w:p>
    <w:p>
      <w:pPr>
        <w:spacing w:after="120" w:line="276"/>
        <w:jc w:val="both"/>
      </w:pPr>
      <w:r>
        <w:rPr>
          <w:rFonts w:ascii="Times New Roman" w:cs="Times New Roman" w:eastAsia="Times New Roman" w:hAnsi="Times New Roman"/>
          <w:color w:val="000000"/>
        </w:rPr>
        <w:t xml:space="preserve">La segunda muestra el caso sin stock: la necesidad pasa a Compras, el ERP crea la orden de compra y la recepción del WMS reactiva la reserva.</w:t>
      </w:r>
    </w:p>
    <w:p>
      <w:pPr>
        <w:keepNext/>
        <w:spacing w:after="0" w:before="200"/>
      </w:pPr>
      <w:r>
        <w:rPr>
          <w:rFonts w:ascii="Times New Roman" w:cs="Times New Roman" w:eastAsia="Times New Roman" w:hAnsi="Times New Roman"/>
          <w:b/>
          <w:bCs/>
          <w:color w:val="000000"/>
        </w:rPr>
        <w:t xml:space="preserve">Figura 10</w:t>
      </w:r>
    </w:p>
    <w:p>
      <w:pPr>
        <w:keepNext/>
        <w:spacing w:after="100"/>
      </w:pPr>
      <w:r>
        <w:rPr>
          <w:rFonts w:ascii="Times New Roman" w:cs="Times New Roman" w:eastAsia="Times New Roman" w:hAnsi="Times New Roman"/>
          <w:i/>
          <w:iCs/>
          <w:color w:val="000000"/>
        </w:rPr>
        <w:t xml:space="preserve">Secuencia 2: material sin stock, compra y recepción</w:t>
      </w:r>
    </w:p>
    <w:p>
      <w:pPr>
        <w:keepNext/>
        <w:jc w:val="center"/>
      </w:pPr>
      <w:r>
        <w:drawing>
          <wp:inline distT="0" distB="0" distL="0" distR="0">
            <wp:extent cx="5943600" cy="42100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21005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w:t>
      </w:r>
    </w:p>
    <w:p>
      <w:pPr>
        <w:spacing w:after="120" w:line="276"/>
        <w:jc w:val="both"/>
      </w:pPr>
      <w:r>
        <w:rPr>
          <w:rFonts w:ascii="Times New Roman" w:cs="Times New Roman" w:eastAsia="Times New Roman" w:hAnsi="Times New Roman"/>
          <w:color w:val="000000"/>
        </w:rPr>
        <w:t xml:space="preserve">La tercera muestra el desacople ante una falla de conexión. La operación conserva su identificador; si el WMS no responde, se reintenta y, al superar el límite, se registra una incidencia con su causa. Al restablecerse la conexión, el conector consulta el estado antes de reenviar, para no duplicar el movimiento.</w:t>
      </w:r>
    </w:p>
    <w:p>
      <w:pPr>
        <w:keepNext/>
        <w:spacing w:after="0" w:before="200"/>
      </w:pPr>
      <w:r>
        <w:rPr>
          <w:rFonts w:ascii="Times New Roman" w:cs="Times New Roman" w:eastAsia="Times New Roman" w:hAnsi="Times New Roman"/>
          <w:b/>
          <w:bCs/>
          <w:color w:val="000000"/>
        </w:rPr>
        <w:t xml:space="preserve">Figura 11</w:t>
      </w:r>
    </w:p>
    <w:p>
      <w:pPr>
        <w:keepNext/>
        <w:spacing w:after="100"/>
      </w:pPr>
      <w:r>
        <w:rPr>
          <w:rFonts w:ascii="Times New Roman" w:cs="Times New Roman" w:eastAsia="Times New Roman" w:hAnsi="Times New Roman"/>
          <w:i/>
          <w:iCs/>
          <w:color w:val="000000"/>
        </w:rPr>
        <w:t xml:space="preserve">Secuencia 3: falla de conexión con el WMS, incidencia y recuperación</w:t>
      </w:r>
    </w:p>
    <w:p>
      <w:pPr>
        <w:keepNext/>
        <w:jc w:val="center"/>
      </w:pPr>
      <w:r>
        <w:drawing>
          <wp:inline distT="0" distB="0" distL="0" distR="0">
            <wp:extent cx="5943600" cy="42100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210050"/>
                    </a:xfrm>
                    <a:prstGeom prst="rect">
                      <a:avLst/>
                    </a:prstGeom>
                  </pic:spPr>
                </pic:pic>
              </a:graphicData>
            </a:graphic>
          </wp:inline>
        </w:drawing>
      </w:r>
    </w:p>
    <w:p>
      <w:pPr>
        <w:spacing w:after="200"/>
      </w:pPr>
      <w:r>
        <w:rPr>
          <w:rFonts w:ascii="Times New Roman" w:cs="Times New Roman" w:eastAsia="Times New Roman" w:hAnsi="Times New Roman"/>
          <w:i/>
          <w:iCs/>
          <w:color w:val="000000"/>
          <w:sz w:val="20"/>
          <w:szCs w:val="20"/>
        </w:rPr>
        <w:t xml:space="preserve">Nota. </w:t>
      </w:r>
      <w:r>
        <w:rPr>
          <w:rFonts w:ascii="Times New Roman" w:cs="Times New Roman" w:eastAsia="Times New Roman" w:hAnsi="Times New Roman"/>
          <w:color w:val="000000"/>
          <w:sz w:val="20"/>
          <w:szCs w:val="20"/>
        </w:rPr>
        <w:t xml:space="preserve">Elaboración propia. La X indica un mensaje sin respuesta.</w:t>
      </w:r>
    </w:p>
    <w:p>
      <w:pPr>
        <w:pStyle w:val="Heading1"/>
      </w:pPr>
      <w:r>
        <w:rPr>
          <w:rFonts w:ascii="Times New Roman" w:cs="Times New Roman" w:eastAsia="Times New Roman" w:hAnsi="Times New Roman"/>
          <w:b/>
          <w:bCs/>
          <w:color w:val="000000"/>
        </w:rPr>
        <w:t xml:space="preserve">8. Especificación de la integración</w:t>
      </w:r>
    </w:p>
    <w:p>
      <w:pPr>
        <w:pStyle w:val="Heading2"/>
      </w:pPr>
      <w:r>
        <w:rPr>
          <w:rFonts w:ascii="Times New Roman" w:cs="Times New Roman" w:eastAsia="Times New Roman" w:hAnsi="Times New Roman"/>
          <w:b/>
          <w:bCs/>
          <w:color w:val="000000"/>
        </w:rPr>
        <w:t xml:space="preserve">8.1 Catálogo de eventos y mensajes</w:t>
      </w:r>
    </w:p>
    <w:p>
      <w:pPr>
        <w:keepNext/>
        <w:spacing w:after="0" w:before="200"/>
      </w:pPr>
      <w:r>
        <w:rPr>
          <w:rFonts w:ascii="Times New Roman" w:cs="Times New Roman" w:eastAsia="Times New Roman" w:hAnsi="Times New Roman"/>
          <w:b/>
          <w:bCs/>
          <w:color w:val="000000"/>
        </w:rPr>
        <w:t xml:space="preserve">Tabla 18</w:t>
      </w:r>
    </w:p>
    <w:p>
      <w:pPr>
        <w:keepNext/>
        <w:spacing w:after="100"/>
      </w:pPr>
      <w:r>
        <w:rPr>
          <w:rFonts w:ascii="Times New Roman" w:cs="Times New Roman" w:eastAsia="Times New Roman" w:hAnsi="Times New Roman"/>
          <w:i/>
          <w:iCs/>
          <w:color w:val="000000"/>
        </w:rPr>
        <w:t xml:space="preserve">Catálogo de eventos y mensajes de integración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36"/>
        <w:gridCol w:w="1992"/>
        <w:gridCol w:w="1368"/>
        <w:gridCol w:w="1917"/>
        <w:gridCol w:w="1647"/>
      </w:tblGrid>
      <w:tr>
        <w:trPr>
          <w:cantSplit/>
          <w:tblHeader/>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ID</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Evento o mensaje</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Origen → destino</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Mecanismo</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Datos principales</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18"/>
                <w:szCs w:val="18"/>
              </w:rPr>
              <w:t xml:space="preserve">Confirmación</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EV-01</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Consultar existencias</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Integración → WMS</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REST síncrono (GET)</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material, almacén</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físico, reservado, bloqueado</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EV-02</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Solicitar reserva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 → Integración → WMS</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Operación asíncrona (POST)</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id_operacion, orden, material, cantidad, almacén</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ref. de reserva o rechazo</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EV-03</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Liberar reserva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 → WMS</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Operación asíncrona (PATCH)</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id_operacion, ref. de reserva</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reserva liberada</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EV-04</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Registrar salida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Inventario → WMS</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Operación asíncrona (POST)</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id_operacion, reserva, lote o serie, cantidad</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ref. de movimiento</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EV-05</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Salida confirmada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Integración → Inventario, Mantenimiento, Compras</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Evento interno</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movimiento, material, orden</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Dispara la revisión del ROP</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EV-06</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Enviar solicitud de compra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Compras → ERP</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Operación asíncrona (POST)</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id_operacion, material, cantidad, proveedor</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N.º de OC y fecha prometida</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EV-07</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Estado de orden de compra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ERP → Integración</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Webhook (POST)</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N.º de OC, estado, fecha</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Actualiza la solicitud</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EV-08</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Recepción aceptada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WMS → Integración</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Webhook (POST)</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N.º de OC, cantidad aceptada, lote, vencimiento</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Recepción confirmada</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EV-09</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Transferencia en tránsito o recibida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WMS → Integración</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Webhook (POST)</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origen, destino, cantidad, fecha estimada</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Alerta si vence sin recepción</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EV-10</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Sincronizar catálogos</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Integración ↔ maestros</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Proceso batch nocturno</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materiales, proveedores, empleados, almacenes</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Códigos únicos</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EV-11</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Conciliar movimientos</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Integración ↔ WMS</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Proceso batch nocturno</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movimientos confirmados del día</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Diferencias como conciliación</w:t>
            </w:r>
          </w:p>
        </w:tc>
      </w:tr>
      <w:tr>
        <w:trPr>
          <w:cantSplit/>
          <w:tblHeader w:val="off"/>
        </w:trPr>
        <w:tc>
          <w:tcPr>
            <w:tcW w:type="dxa" w:w="70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EV-12</w:t>
            </w:r>
          </w:p>
        </w:tc>
        <w:tc>
          <w:tcPr>
            <w:tcW w:type="dxa" w:w="17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Incidencia registrada</w:t>
            </w:r>
          </w:p>
        </w:tc>
        <w:tc>
          <w:tcPr>
            <w:tcW w:type="dxa" w:w="199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Integración → Alertas</w:t>
            </w:r>
          </w:p>
        </w:tc>
        <w:tc>
          <w:tcPr>
            <w:tcW w:type="dxa" w:w="13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Evento interno</w:t>
            </w:r>
          </w:p>
        </w:tc>
        <w:tc>
          <w:tcPr>
            <w:tcW w:type="dxa" w:w="191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operación, código de causa, responsable</w:t>
            </w:r>
          </w:p>
        </w:tc>
        <w:tc>
          <w:tcPr>
            <w:tcW w:type="dxa" w:w="164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18"/>
                <w:szCs w:val="18"/>
              </w:rPr>
              <w:t xml:space="preserve">Alerta al responsable</w:t>
            </w:r>
          </w:p>
        </w:tc>
      </w:tr>
    </w:tbl>
    <w:p>
      <w:pPr>
        <w:spacing w:after="120"/>
      </w:pPr>
    </w:p>
    <w:p>
      <w:pPr>
        <w:pStyle w:val="Heading2"/>
      </w:pPr>
      <w:r>
        <w:rPr>
          <w:rFonts w:ascii="Times New Roman" w:cs="Times New Roman" w:eastAsia="Times New Roman" w:hAnsi="Times New Roman"/>
          <w:b/>
          <w:bCs/>
          <w:color w:val="000000"/>
        </w:rPr>
        <w:t xml:space="preserve">8.2 Contrato de mensaje: solicitud de reserva</w:t>
      </w:r>
    </w:p>
    <w:p>
      <w:pPr>
        <w:spacing w:after="120" w:line="276"/>
        <w:jc w:val="both"/>
      </w:pPr>
      <w:r>
        <w:rPr>
          <w:rFonts w:ascii="Times New Roman" w:cs="Times New Roman" w:eastAsia="Times New Roman" w:hAnsi="Times New Roman"/>
          <w:color w:val="000000"/>
        </w:rPr>
        <w:t xml:space="preserve">Cada operación viaja con su identificador único. Si el mensaje se reenvía, el WMS reconoce el mismo identificador y no crea una segunda reserva.</w:t>
      </w:r>
    </w:p>
    <w:p>
      <w:pPr>
        <w:keepNext/>
        <w:keepLines/>
        <w:spacing w:after="0" w:line="240"/>
        <w:ind w:left="360"/>
      </w:pPr>
      <w:r>
        <w:rPr>
          <w:rFonts w:ascii="Courier New" w:cs="Courier New" w:eastAsia="Courier New" w:hAnsi="Courier New"/>
          <w:color w:val="000000"/>
          <w:sz w:val="18"/>
          <w:szCs w:val="18"/>
        </w:rPr>
        <w:t xml:space="preserve">POST /wms/reservas</w:t>
      </w:r>
    </w:p>
    <w:p>
      <w:pPr>
        <w:keepNext/>
        <w:keepLines/>
        <w:spacing w:after="0" w:line="240"/>
        <w:ind w:left="360"/>
      </w:pPr>
      <w:r>
        <w:rPr>
          <w:rFonts w:ascii="Courier New" w:cs="Courier New" w:eastAsia="Courier New" w:hAnsi="Courier New"/>
          <w:color w:val="000000"/>
          <w:sz w:val="18"/>
          <w:szCs w:val="18"/>
        </w:rPr>
        <w:t xml:space="preserve">Idempotency-Key: 7f3c9a1e-2b4d-4e8f-9a61-1c2d3e4f5a6b</w:t>
      </w:r>
    </w:p>
    <w:p>
      <w:pPr>
        <w:keepNext/>
        <w:keepLines/>
        <w:spacing w:after="0" w:line="240"/>
        <w:ind w:left="360"/>
      </w:pPr>
      <w:r>
        <w:rPr>
          <w:rFonts w:ascii="Courier New" w:cs="Courier New" w:eastAsia="Courier New" w:hAnsi="Courier New"/>
          <w:color w:val="000000"/>
          <w:sz w:val="18"/>
          <w:szCs w:val="18"/>
        </w:rPr>
        <w:t xml:space="preserve">{</w:t>
      </w:r>
    </w:p>
    <w:p>
      <w:pPr>
        <w:keepNext/>
        <w:keepLines/>
        <w:spacing w:after="0" w:line="240"/>
        <w:ind w:left="360"/>
      </w:pPr>
      <w:r>
        <w:rPr>
          <w:rFonts w:ascii="Courier New" w:cs="Courier New" w:eastAsia="Courier New" w:hAnsi="Courier New"/>
          <w:color w:val="000000"/>
          <w:sz w:val="18"/>
          <w:szCs w:val="18"/>
        </w:rPr>
        <w:t xml:space="preserve">  "id_operacion": "7f3c9a1e-2b4d-4e8f-9a61-1c2d3e4f5a6b",</w:t>
      </w:r>
    </w:p>
    <w:p>
      <w:pPr>
        <w:keepNext/>
        <w:keepLines/>
        <w:spacing w:after="0" w:line="240"/>
        <w:ind w:left="360"/>
      </w:pPr>
      <w:r>
        <w:rPr>
          <w:rFonts w:ascii="Courier New" w:cs="Courier New" w:eastAsia="Courier New" w:hAnsi="Courier New"/>
          <w:color w:val="000000"/>
          <w:sz w:val="18"/>
          <w:szCs w:val="18"/>
        </w:rPr>
        <w:t xml:space="preserve">  "orden": "OM-2026-0153",</w:t>
      </w:r>
    </w:p>
    <w:p>
      <w:pPr>
        <w:keepNext/>
        <w:keepLines/>
        <w:spacing w:after="0" w:line="240"/>
        <w:ind w:left="360"/>
      </w:pPr>
      <w:r>
        <w:rPr>
          <w:rFonts w:ascii="Courier New" w:cs="Courier New" w:eastAsia="Courier New" w:hAnsi="Courier New"/>
          <w:color w:val="000000"/>
          <w:sz w:val="18"/>
          <w:szCs w:val="18"/>
        </w:rPr>
        <w:t xml:space="preserve">  "material": "FIL-ACE-0021",</w:t>
      </w:r>
    </w:p>
    <w:p>
      <w:pPr>
        <w:keepNext/>
        <w:keepLines/>
        <w:spacing w:after="0" w:line="240"/>
        <w:ind w:left="360"/>
      </w:pPr>
      <w:r>
        <w:rPr>
          <w:rFonts w:ascii="Courier New" w:cs="Courier New" w:eastAsia="Courier New" w:hAnsi="Courier New"/>
          <w:color w:val="000000"/>
          <w:sz w:val="18"/>
          <w:szCs w:val="18"/>
        </w:rPr>
        <w:t xml:space="preserve">  "almacen": "ALM-SCZ",</w:t>
      </w:r>
    </w:p>
    <w:p>
      <w:pPr>
        <w:keepNext/>
        <w:keepLines/>
        <w:spacing w:after="0" w:line="240"/>
        <w:ind w:left="360"/>
      </w:pPr>
      <w:r>
        <w:rPr>
          <w:rFonts w:ascii="Courier New" w:cs="Courier New" w:eastAsia="Courier New" w:hAnsi="Courier New"/>
          <w:color w:val="000000"/>
          <w:sz w:val="18"/>
          <w:szCs w:val="18"/>
        </w:rPr>
        <w:t xml:space="preserve">  "cantidad": 4</w:t>
      </w:r>
    </w:p>
    <w:p>
      <w:pPr>
        <w:keepNext/>
        <w:keepLines/>
        <w:spacing w:after="0" w:line="240"/>
        <w:ind w:left="360"/>
      </w:pPr>
      <w:r>
        <w:rPr>
          <w:rFonts w:ascii="Courier New" w:cs="Courier New" w:eastAsia="Courier New" w:hAnsi="Courier New"/>
          <w:color w:val="000000"/>
          <w:sz w:val="18"/>
          <w:szCs w:val="18"/>
        </w:rPr>
        <w:t xml:space="preserve">}</w:t>
      </w:r>
    </w:p>
    <w:p>
      <w:pPr>
        <w:keepNext/>
        <w:keepLines/>
        <w:spacing w:after="0" w:line="240"/>
        <w:ind w:left="360"/>
      </w:pPr>
      <w:r>
        <w:rPr>
          <w:rFonts w:ascii="Courier New" w:cs="Courier New" w:eastAsia="Courier New" w:hAnsi="Courier New"/>
          <w:color w:val="000000"/>
          <w:sz w:val="18"/>
          <w:szCs w:val="18"/>
        </w:rPr>
        <w:t xml:space="preserve">Respuesta 201: { "ref_reserva": "RES-88412", "estado": "confirmada" }</w:t>
      </w:r>
    </w:p>
    <w:p>
      <w:pPr>
        <w:keepNext w:val="false"/>
        <w:keepLines/>
        <w:spacing w:after="0" w:line="240"/>
        <w:ind w:left="360"/>
      </w:pPr>
      <w:r>
        <w:rPr>
          <w:rFonts w:ascii="Courier New" w:cs="Courier New" w:eastAsia="Courier New" w:hAnsi="Courier New"/>
          <w:color w:val="000000"/>
          <w:sz w:val="18"/>
          <w:szCs w:val="18"/>
        </w:rPr>
        <w:t xml:space="preserve">Respuesta 409: { "estado": "rechazada", "causa": "STOCK_INSUFICIENTE", "disponible": 2 }</w:t>
      </w:r>
    </w:p>
    <w:p/>
    <w:p>
      <w:pPr>
        <w:pStyle w:val="Heading2"/>
      </w:pPr>
      <w:r>
        <w:rPr>
          <w:rFonts w:ascii="Times New Roman" w:cs="Times New Roman" w:eastAsia="Times New Roman" w:hAnsi="Times New Roman"/>
          <w:b/>
          <w:bCs/>
          <w:color w:val="000000"/>
        </w:rPr>
        <w:t xml:space="preserve">8.3 Contrato de mensaje: recepción aceptada (webhook del WMS)</w:t>
      </w:r>
    </w:p>
    <w:p>
      <w:pPr>
        <w:keepNext/>
        <w:keepLines/>
        <w:spacing w:after="0" w:line="240"/>
        <w:ind w:left="360"/>
      </w:pPr>
      <w:r>
        <w:rPr>
          <w:rFonts w:ascii="Courier New" w:cs="Courier New" w:eastAsia="Courier New" w:hAnsi="Courier New"/>
          <w:color w:val="000000"/>
          <w:sz w:val="18"/>
          <w:szCs w:val="18"/>
        </w:rPr>
        <w:t xml:space="preserve">POST /integracion/webhooks/wms</w:t>
      </w:r>
    </w:p>
    <w:p>
      <w:pPr>
        <w:keepNext/>
        <w:keepLines/>
        <w:spacing w:after="0" w:line="240"/>
        <w:ind w:left="360"/>
      </w:pPr>
      <w:r>
        <w:rPr>
          <w:rFonts w:ascii="Courier New" w:cs="Courier New" w:eastAsia="Courier New" w:hAnsi="Courier New"/>
          <w:color w:val="000000"/>
          <w:sz w:val="18"/>
          <w:szCs w:val="18"/>
        </w:rPr>
        <w:t xml:space="preserve">{</w:t>
      </w:r>
    </w:p>
    <w:p>
      <w:pPr>
        <w:keepNext/>
        <w:keepLines/>
        <w:spacing w:after="0" w:line="240"/>
        <w:ind w:left="360"/>
      </w:pPr>
      <w:r>
        <w:rPr>
          <w:rFonts w:ascii="Courier New" w:cs="Courier New" w:eastAsia="Courier New" w:hAnsi="Courier New"/>
          <w:color w:val="000000"/>
          <w:sz w:val="18"/>
          <w:szCs w:val="18"/>
        </w:rPr>
        <w:t xml:space="preserve">  "evento": "recepcion.aceptada",</w:t>
      </w:r>
    </w:p>
    <w:p>
      <w:pPr>
        <w:keepNext/>
        <w:keepLines/>
        <w:spacing w:after="0" w:line="240"/>
        <w:ind w:left="360"/>
      </w:pPr>
      <w:r>
        <w:rPr>
          <w:rFonts w:ascii="Courier New" w:cs="Courier New" w:eastAsia="Courier New" w:hAnsi="Courier New"/>
          <w:color w:val="000000"/>
          <w:sz w:val="18"/>
          <w:szCs w:val="18"/>
        </w:rPr>
        <w:t xml:space="preserve">  "orden_compra": "OC-55120",</w:t>
      </w:r>
    </w:p>
    <w:p>
      <w:pPr>
        <w:keepNext/>
        <w:keepLines/>
        <w:spacing w:after="0" w:line="240"/>
        <w:ind w:left="360"/>
      </w:pPr>
      <w:r>
        <w:rPr>
          <w:rFonts w:ascii="Courier New" w:cs="Courier New" w:eastAsia="Courier New" w:hAnsi="Courier New"/>
          <w:color w:val="000000"/>
          <w:sz w:val="18"/>
          <w:szCs w:val="18"/>
        </w:rPr>
        <w:t xml:space="preserve">  "material": "FIL-ACE-0021",</w:t>
      </w:r>
    </w:p>
    <w:p>
      <w:pPr>
        <w:keepNext/>
        <w:keepLines/>
        <w:spacing w:after="0" w:line="240"/>
        <w:ind w:left="360"/>
      </w:pPr>
      <w:r>
        <w:rPr>
          <w:rFonts w:ascii="Courier New" w:cs="Courier New" w:eastAsia="Courier New" w:hAnsi="Courier New"/>
          <w:color w:val="000000"/>
          <w:sz w:val="18"/>
          <w:szCs w:val="18"/>
        </w:rPr>
        <w:t xml:space="preserve">  "cantidad_recibida": 105,</w:t>
      </w:r>
    </w:p>
    <w:p>
      <w:pPr>
        <w:keepNext/>
        <w:keepLines/>
        <w:spacing w:after="0" w:line="240"/>
        <w:ind w:left="360"/>
      </w:pPr>
      <w:r>
        <w:rPr>
          <w:rFonts w:ascii="Courier New" w:cs="Courier New" w:eastAsia="Courier New" w:hAnsi="Courier New"/>
          <w:color w:val="000000"/>
          <w:sz w:val="18"/>
          <w:szCs w:val="18"/>
        </w:rPr>
        <w:t xml:space="preserve">  "cantidad_aceptada": 100,</w:t>
      </w:r>
    </w:p>
    <w:p>
      <w:pPr>
        <w:keepNext/>
        <w:keepLines/>
        <w:spacing w:after="0" w:line="240"/>
        <w:ind w:left="360"/>
      </w:pPr>
      <w:r>
        <w:rPr>
          <w:rFonts w:ascii="Courier New" w:cs="Courier New" w:eastAsia="Courier New" w:hAnsi="Courier New"/>
          <w:color w:val="000000"/>
          <w:sz w:val="18"/>
          <w:szCs w:val="18"/>
        </w:rPr>
        <w:t xml:space="preserve">  "lote": "L-2026-10-A",</w:t>
      </w:r>
    </w:p>
    <w:p>
      <w:pPr>
        <w:keepNext/>
        <w:keepLines/>
        <w:spacing w:after="0" w:line="240"/>
        <w:ind w:left="360"/>
      </w:pPr>
      <w:r>
        <w:rPr>
          <w:rFonts w:ascii="Courier New" w:cs="Courier New" w:eastAsia="Courier New" w:hAnsi="Courier New"/>
          <w:color w:val="000000"/>
          <w:sz w:val="18"/>
          <w:szCs w:val="18"/>
        </w:rPr>
        <w:t xml:space="preserve">  "fecha_vencimiento": "2028-10-31"</w:t>
      </w:r>
    </w:p>
    <w:p>
      <w:pPr>
        <w:keepNext w:val="false"/>
        <w:keepLines/>
        <w:spacing w:after="0" w:line="240"/>
        <w:ind w:left="360"/>
      </w:pPr>
      <w:r>
        <w:rPr>
          <w:rFonts w:ascii="Courier New" w:cs="Courier New" w:eastAsia="Courier New" w:hAnsi="Courier New"/>
          <w:color w:val="000000"/>
          <w:sz w:val="18"/>
          <w:szCs w:val="18"/>
        </w:rPr>
        <w:t xml:space="preserve">}</w:t>
      </w:r>
    </w:p>
    <w:p/>
    <w:p>
      <w:pPr>
        <w:spacing w:after="120" w:line="276"/>
        <w:jc w:val="both"/>
      </w:pPr>
      <w:r>
        <w:rPr>
          <w:rFonts w:ascii="Times New Roman" w:cs="Times New Roman" w:eastAsia="Times New Roman" w:hAnsi="Times New Roman"/>
          <w:color w:val="000000"/>
        </w:rPr>
        <w:t xml:space="preserve">Los códigos de material, orden y documento son ejemplos de formato, no datos reales de la empresa.</w:t>
      </w:r>
    </w:p>
    <w:p>
      <w:pPr>
        <w:pStyle w:val="Heading2"/>
      </w:pPr>
      <w:r>
        <w:rPr>
          <w:rFonts w:ascii="Times New Roman" w:cs="Times New Roman" w:eastAsia="Times New Roman" w:hAnsi="Times New Roman"/>
          <w:b/>
          <w:bCs/>
          <w:color w:val="000000"/>
        </w:rPr>
        <w:t xml:space="preserve">8.4 Reintentos, incidencias y conciliación</w:t>
      </w:r>
    </w:p>
    <w:p>
      <w:pPr>
        <w:pStyle w:val="ListParagraph"/>
        <w:numPr>
          <w:ilvl w:val="0"/>
          <w:numId w:val="4"/>
        </w:numPr>
        <w:spacing w:after="60" w:line="276"/>
        <w:jc w:val="both"/>
      </w:pPr>
      <w:r>
        <w:rPr>
          <w:rFonts w:ascii="Times New Roman" w:cs="Times New Roman" w:eastAsia="Times New Roman" w:hAnsi="Times New Roman"/>
          <w:b/>
          <w:bCs/>
          <w:color w:val="000000"/>
        </w:rPr>
        <w:t xml:space="preserve">Confirmación obligatoria.</w:t>
      </w:r>
      <w:r>
        <w:rPr>
          <w:rFonts w:ascii="Times New Roman" w:cs="Times New Roman" w:eastAsia="Times New Roman" w:hAnsi="Times New Roman"/>
          <w:color w:val="000000"/>
        </w:rPr>
        <w:t xml:space="preserve"> Una operación pasa a «Confirmada» solo con una respuesta correcta del sistema responsable.</w:t>
      </w:r>
    </w:p>
    <w:p>
      <w:pPr>
        <w:pStyle w:val="ListParagraph"/>
        <w:numPr>
          <w:ilvl w:val="0"/>
          <w:numId w:val="4"/>
        </w:numPr>
        <w:spacing w:after="60" w:line="276"/>
        <w:jc w:val="both"/>
      </w:pPr>
      <w:r>
        <w:rPr>
          <w:rFonts w:ascii="Times New Roman" w:cs="Times New Roman" w:eastAsia="Times New Roman" w:hAnsi="Times New Roman"/>
          <w:b/>
          <w:bCs/>
          <w:color w:val="000000"/>
        </w:rPr>
        <w:t xml:space="preserve">Reintentos.</w:t>
      </w:r>
      <w:r>
        <w:rPr>
          <w:rFonts w:ascii="Times New Roman" w:cs="Times New Roman" w:eastAsia="Times New Roman" w:hAnsi="Times New Roman"/>
          <w:color w:val="000000"/>
        </w:rPr>
        <w:t xml:space="preserve"> Ante falta de respuesta, el conector consulta el estado por identificador y reenvía con el mismo identificador. La propuesta tecnológica fija una sincronización de respaldo cada 15 minutos mientras la conexión no esté disponible.</w:t>
      </w:r>
    </w:p>
    <w:p>
      <w:pPr>
        <w:pStyle w:val="ListParagraph"/>
        <w:numPr>
          <w:ilvl w:val="0"/>
          <w:numId w:val="4"/>
        </w:numPr>
        <w:spacing w:after="60" w:line="276"/>
        <w:jc w:val="both"/>
      </w:pPr>
      <w:r>
        <w:rPr>
          <w:rFonts w:ascii="Times New Roman" w:cs="Times New Roman" w:eastAsia="Times New Roman" w:hAnsi="Times New Roman"/>
          <w:b/>
          <w:bCs/>
          <w:color w:val="000000"/>
        </w:rPr>
        <w:t xml:space="preserve">Incidencia.</w:t>
      </w:r>
      <w:r>
        <w:rPr>
          <w:rFonts w:ascii="Times New Roman" w:cs="Times New Roman" w:eastAsia="Times New Roman" w:hAnsi="Times New Roman"/>
          <w:color w:val="000000"/>
        </w:rPr>
        <w:t xml:space="preserve"> Al superar el límite de reintentos se registra una incidencia con su causa y responsable, y se alerta al supervisor.</w:t>
      </w:r>
    </w:p>
    <w:p>
      <w:pPr>
        <w:pStyle w:val="ListParagraph"/>
        <w:numPr>
          <w:ilvl w:val="0"/>
          <w:numId w:val="4"/>
        </w:numPr>
        <w:spacing w:after="60" w:line="276"/>
        <w:jc w:val="both"/>
      </w:pPr>
      <w:r>
        <w:rPr>
          <w:rFonts w:ascii="Times New Roman" w:cs="Times New Roman" w:eastAsia="Times New Roman" w:hAnsi="Times New Roman"/>
          <w:b/>
          <w:bCs/>
          <w:color w:val="000000"/>
        </w:rPr>
        <w:t xml:space="preserve">Conciliación.</w:t>
      </w:r>
      <w:r>
        <w:rPr>
          <w:rFonts w:ascii="Times New Roman" w:cs="Times New Roman" w:eastAsia="Times New Roman" w:hAnsi="Times New Roman"/>
          <w:color w:val="000000"/>
        </w:rPr>
        <w:t xml:space="preserve"> Cada noche se comparan los movimientos confirmados con los del WMS; las diferencias se registran y se resuelven.</w:t>
      </w:r>
    </w:p>
    <w:p>
      <w:pPr>
        <w:pStyle w:val="ListParagraph"/>
        <w:numPr>
          <w:ilvl w:val="0"/>
          <w:numId w:val="4"/>
        </w:numPr>
        <w:spacing w:after="60" w:line="276"/>
        <w:jc w:val="both"/>
      </w:pPr>
      <w:r>
        <w:rPr>
          <w:rFonts w:ascii="Times New Roman" w:cs="Times New Roman" w:eastAsia="Times New Roman" w:hAnsi="Times New Roman"/>
          <w:b/>
          <w:bCs/>
          <w:color w:val="000000"/>
        </w:rPr>
        <w:t xml:space="preserve">Registro físico no ingresado.</w:t>
      </w:r>
      <w:r>
        <w:rPr>
          <w:rFonts w:ascii="Times New Roman" w:cs="Times New Roman" w:eastAsia="Times New Roman" w:hAnsi="Times New Roman"/>
          <w:color w:val="000000"/>
        </w:rPr>
        <w:t xml:space="preserve"> Ninguna medida técnica detecta un movimiento que nunca se registró. Se controla con la regla de registrar en el momento de la entrega y con conteos físicos.</w:t>
      </w:r>
    </w:p>
    <w:p>
      <w:pPr>
        <w:spacing w:after="60"/>
      </w:pPr>
    </w:p>
    <w:p>
      <w:pPr>
        <w:keepNext/>
        <w:spacing w:after="0" w:before="200"/>
      </w:pPr>
      <w:r>
        <w:rPr>
          <w:rFonts w:ascii="Times New Roman" w:cs="Times New Roman" w:eastAsia="Times New Roman" w:hAnsi="Times New Roman"/>
          <w:b/>
          <w:bCs/>
          <w:color w:val="000000"/>
        </w:rPr>
        <w:t xml:space="preserve">Tabla 19</w:t>
      </w:r>
    </w:p>
    <w:p>
      <w:pPr>
        <w:keepNext/>
        <w:spacing w:after="100"/>
      </w:pPr>
      <w:r>
        <w:rPr>
          <w:rFonts w:ascii="Times New Roman" w:cs="Times New Roman" w:eastAsia="Times New Roman" w:hAnsi="Times New Roman"/>
          <w:i/>
          <w:iCs/>
          <w:color w:val="000000"/>
        </w:rPr>
        <w:t xml:space="preserve">Códigos de causa de incidencias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10"/>
        <w:gridCol w:w="3025"/>
        <w:gridCol w:w="3125"/>
      </w:tblGrid>
      <w:tr>
        <w:trPr>
          <w:cantSplit/>
          <w:tblHeader/>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Código</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Causa</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Respuesta del sistema</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WMS_SIN_RESPUESTA</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WMS no respondió dentro del tiempo límite</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Reintento, incidencia y alerta</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ERP_SIN_RESPUESTA</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ERP no respondió</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Reintento, incidencia y alerta a Compras</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STOCK_INSUFICIENTE</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cantidad supera el disponible</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Rechazo y necesidad de compra</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DATOS_INVALIDOS</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Código inexistente o campo obligatorio vacío</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Rechazo sin modificar el inventario</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CONFIRMACION_PERDIDA</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operación se procesó pero no llegó la respuesta</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Consulta por identificador; no se reenvía</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TRANSFERENCIA_VENCIDA</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transferencia no se recibió en la fecha estimada</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Alerta a ambos almacenes</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PROVEEDOR_RETRASADO</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 superó la fecha prometida de la OC</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Alerta a Compras y ajuste del índice de cumplimiento</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RECEPCION_PARCIAL</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 aceptó menos de lo pedido</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Saldo pendiente en la solicitud</w:t>
            </w:r>
          </w:p>
        </w:tc>
      </w:tr>
      <w:tr>
        <w:trPr>
          <w:cantSplit/>
          <w:tblHeader w:val="off"/>
        </w:trPr>
        <w:tc>
          <w:tcPr>
            <w:tcW w:type="dxa" w:w="321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DIFERENCIA_CONCILIACION</w:t>
            </w:r>
          </w:p>
        </w:tc>
        <w:tc>
          <w:tcPr>
            <w:tcW w:type="dxa" w:w="30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movimiento no coincide con el WMS</w:t>
            </w:r>
          </w:p>
        </w:tc>
        <w:tc>
          <w:tcPr>
            <w:tcW w:type="dxa" w:w="31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Revisión y resolución registrada</w:t>
            </w:r>
          </w:p>
        </w:tc>
      </w:tr>
    </w:tbl>
    <w:p>
      <w:pPr>
        <w:spacing w:after="120"/>
      </w:pPr>
    </w:p>
    <w:p>
      <w:pPr>
        <w:pStyle w:val="Heading1"/>
      </w:pPr>
      <w:r>
        <w:rPr>
          <w:rFonts w:ascii="Times New Roman" w:cs="Times New Roman" w:eastAsia="Times New Roman" w:hAnsi="Times New Roman"/>
          <w:b/>
          <w:bCs/>
          <w:color w:val="000000"/>
        </w:rPr>
        <w:t xml:space="preserve">9. Trazabilidad del modelo</w:t>
      </w:r>
    </w:p>
    <w:p>
      <w:pPr>
        <w:spacing w:after="120" w:line="276"/>
        <w:jc w:val="both"/>
      </w:pPr>
      <w:r>
        <w:rPr>
          <w:rFonts w:ascii="Times New Roman" w:cs="Times New Roman" w:eastAsia="Times New Roman" w:hAnsi="Times New Roman"/>
          <w:color w:val="000000"/>
        </w:rPr>
        <w:t xml:space="preserve">La matriz vincula cada regla de la fase conceptual con los modelos que la implementan. Demuestra que todos los modelos describen el mismo sistema.</w:t>
      </w:r>
    </w:p>
    <w:p>
      <w:pPr>
        <w:keepNext/>
        <w:spacing w:after="0" w:before="200"/>
      </w:pPr>
      <w:r>
        <w:rPr>
          <w:rFonts w:ascii="Times New Roman" w:cs="Times New Roman" w:eastAsia="Times New Roman" w:hAnsi="Times New Roman"/>
          <w:b/>
          <w:bCs/>
          <w:color w:val="000000"/>
        </w:rPr>
        <w:t xml:space="preserve">Tabla 20</w:t>
      </w:r>
    </w:p>
    <w:p>
      <w:pPr>
        <w:keepNext/>
        <w:spacing w:after="100"/>
      </w:pPr>
      <w:r>
        <w:rPr>
          <w:rFonts w:ascii="Times New Roman" w:cs="Times New Roman" w:eastAsia="Times New Roman" w:hAnsi="Times New Roman"/>
          <w:i/>
          <w:iCs/>
          <w:color w:val="000000"/>
        </w:rPr>
        <w:t xml:space="preserve">Matriz de trazabilidad entre la fase conceptual y los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26"/>
        <w:gridCol w:w="1136"/>
        <w:gridCol w:w="1168"/>
        <w:gridCol w:w="3088"/>
        <w:gridCol w:w="1542"/>
      </w:tblGrid>
      <w:tr>
        <w:trPr>
          <w:cantSplit/>
          <w:tblHeader/>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Regla o necesidad (fase conceptual)</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Caso de uso</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Proceso del DFD</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Entidades</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Estados y secuencias</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Vincular solicitud, disponibilidad y reserva</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CU-01, CU-02, CU-04</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1, 2</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DETALLE, RESERVA</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7a, 7b y 9</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Reponer sin duplicar compras</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CU-06, CU-09</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3.1, 3.2</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SOLICITUD_COMPRA, MATERIAL</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8a y 10</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formal de compra en el ERP</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CU-10</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3.3, 3.4</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SOLICITUD, OPERACIÓN</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8a, 8b y 10</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Solo lo aceptado incrementa existencias</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CU-11</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3.5</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RECEPCIÓN</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10</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Selección por compatibilidad, FEFO o PEPS</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CU-05</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4</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COMPATIBILIDAD, MOVIMIENTO</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9</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Relacionar pieza instalada y retirada</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CU-07</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5</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CAMBIO_PIEZA, MOVIMIENTO</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7a</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No cerrar con movimientos pendientes</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CU-08</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5</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ORDEN, OPERACIÓN</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7a y 11</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Identificador único y sin duplicados</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(modelo físico)</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OPERACIÓN_INTEGRACIÓN</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8b y 11</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Detectar y recuperar fallas</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CU-12</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(modelo físico)</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INCIDENCIA, CONCILIACIÓN</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8b y 11</w:t>
            </w:r>
          </w:p>
        </w:tc>
      </w:tr>
      <w:tr>
        <w:trPr>
          <w:cantSplit/>
          <w:tblHeader w:val="off"/>
        </w:trPr>
        <w:tc>
          <w:tcPr>
            <w:tcW w:type="dxa" w:w="242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Sin segundo saldo oficial</w:t>
            </w:r>
          </w:p>
        </w:tc>
        <w:tc>
          <w:tcPr>
            <w:tcW w:type="dxa" w:w="113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CU-02</w:t>
            </w:r>
          </w:p>
        </w:tc>
        <w:tc>
          <w:tcPr>
            <w:tcW w:type="dxa" w:w="116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2, 4</w:t>
            </w:r>
          </w:p>
        </w:tc>
        <w:tc>
          <w:tcPr>
            <w:tcW w:type="dxa" w:w="3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RESERVA, MOVIMIENTO (referencias)</w:t>
            </w:r>
          </w:p>
        </w:tc>
        <w:tc>
          <w:tcPr>
            <w:tcW w:type="dxa" w:w="154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 9</w:t>
            </w:r>
          </w:p>
        </w:tc>
      </w:tr>
    </w:tbl>
    <w:p>
      <w:pPr>
        <w:spacing w:after="120"/>
      </w:pPr>
    </w:p>
    <w:p>
      <w:pPr>
        <w:pStyle w:val="Heading1"/>
      </w:pPr>
      <w:r>
        <w:rPr>
          <w:rFonts w:ascii="Times New Roman" w:cs="Times New Roman" w:eastAsia="Times New Roman" w:hAnsi="Times New Roman"/>
          <w:b/>
          <w:bCs/>
          <w:color w:val="000000"/>
        </w:rPr>
        <w:t xml:space="preserve">10. Validación del modelo</w:t>
      </w:r>
    </w:p>
    <w:p>
      <w:pPr>
        <w:spacing w:after="120" w:line="276"/>
        <w:jc w:val="both"/>
      </w:pPr>
      <w:r>
        <w:rPr>
          <w:rFonts w:ascii="Times New Roman" w:cs="Times New Roman" w:eastAsia="Times New Roman" w:hAnsi="Times New Roman"/>
          <w:color w:val="000000"/>
        </w:rPr>
        <w:t xml:space="preserve">Se revisó la consistencia entre modelos con las siguientes comprobaciones.</w:t>
      </w:r>
    </w:p>
    <w:p>
      <w:pPr>
        <w:keepNext/>
        <w:spacing w:after="0" w:before="200"/>
      </w:pPr>
      <w:r>
        <w:rPr>
          <w:rFonts w:ascii="Times New Roman" w:cs="Times New Roman" w:eastAsia="Times New Roman" w:hAnsi="Times New Roman"/>
          <w:b/>
          <w:bCs/>
          <w:color w:val="000000"/>
        </w:rPr>
        <w:t xml:space="preserve">Tabla 21</w:t>
      </w:r>
    </w:p>
    <w:p>
      <w:pPr>
        <w:keepNext/>
        <w:spacing w:after="100"/>
      </w:pPr>
      <w:r>
        <w:rPr>
          <w:rFonts w:ascii="Times New Roman" w:cs="Times New Roman" w:eastAsia="Times New Roman" w:hAnsi="Times New Roman"/>
          <w:i/>
          <w:iCs/>
          <w:color w:val="000000"/>
        </w:rPr>
        <w:t xml:space="preserve">Comprobaciones de consistencia entre modelos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23"/>
        <w:gridCol w:w="4437"/>
      </w:tblGrid>
      <w:tr>
        <w:trPr>
          <w:cantSplit/>
          <w:tblHeader/>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Comprobación</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Resultado</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entidad externa del nivel 0 aparece en el nivel 1 o en el nivel 2</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almacén de datos del DFD se implementa con tablas del modelo entidad-relación</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 (tabla de almacenes, sección 5.3)</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tabla tiene un solo módulo que la crea</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 (matriz CRUD)</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caso de uso tiene un proceso del DFD que lo realiza</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 salvo CU-12 y CU-13, que son consultas y administración</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estado de las figuras 7 y 8 tiene un evento que lo dispara</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 (tabla de reglas de transición)</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mensaje de las secuencias figura en el catálogo de eventos</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modelo no guarda saldos oficiales de stock ni órdenes de compra</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 solo referencias del WMS y del ERP</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Los almacenes conservan la numeración del análisis (D1 a D6) y solo se agrega D7</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w:t>
            </w:r>
          </w:p>
        </w:tc>
      </w:tr>
      <w:tr>
        <w:trPr>
          <w:cantSplit/>
          <w:tblHeader w:val="off"/>
        </w:trPr>
        <w:tc>
          <w:tcPr>
            <w:tcW w:type="dxa" w:w="49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Los ejemplos numéricos se declaran como ilustrativos</w:t>
            </w:r>
          </w:p>
        </w:tc>
        <w:tc>
          <w:tcPr>
            <w:tcW w:type="dxa" w:w="443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Cumple</w:t>
            </w:r>
          </w:p>
        </w:tc>
      </w:tr>
    </w:tbl>
    <w:p>
      <w:pPr>
        <w:spacing w:after="120"/>
      </w:pPr>
    </w:p>
    <w:p>
      <w:pPr>
        <w:pStyle w:val="Heading1"/>
      </w:pPr>
      <w:r>
        <w:rPr>
          <w:rFonts w:ascii="Times New Roman" w:cs="Times New Roman" w:eastAsia="Times New Roman" w:hAnsi="Times New Roman"/>
          <w:b/>
          <w:bCs/>
          <w:color w:val="000000"/>
        </w:rPr>
        <w:t xml:space="preserve">11. Conclusiones</w:t>
      </w:r>
    </w:p>
    <w:p>
      <w:pPr>
        <w:pStyle w:val="ListParagraph"/>
        <w:numPr>
          <w:ilvl w:val="0"/>
          <w:numId w:val="5"/>
        </w:numPr>
        <w:spacing w:after="60" w:line="276"/>
        <w:jc w:val="both"/>
      </w:pPr>
      <w:r>
        <w:rPr>
          <w:rFonts w:ascii="Times New Roman" w:cs="Times New Roman" w:eastAsia="Times New Roman" w:hAnsi="Times New Roman"/>
          <w:color w:val="000000"/>
        </w:rPr>
        <w:t xml:space="preserve">La integración se basa en tres decisiones: cada dato tiene un solo dueño, los módulos se comunican por eventos internos y solo el módulo de Integración habla con el WMS y el ERP.</w:t>
      </w:r>
    </w:p>
    <w:p>
      <w:pPr>
        <w:pStyle w:val="ListParagraph"/>
        <w:numPr>
          <w:ilvl w:val="0"/>
          <w:numId w:val="5"/>
        </w:numPr>
        <w:spacing w:after="60" w:line="276"/>
        <w:jc w:val="both"/>
      </w:pPr>
      <w:r>
        <w:rPr>
          <w:rFonts w:ascii="Times New Roman" w:cs="Times New Roman" w:eastAsia="Times New Roman" w:hAnsi="Times New Roman"/>
          <w:color w:val="000000"/>
        </w:rPr>
        <w:t xml:space="preserve">Los modelos se complementan. El mapa y la matriz CRUD muestran quién intercambia qué; los DFD, por dónde circula la información; el modelo de datos, cómo se relaciona; y los estados y secuencias, cuándo y en qué orden.</w:t>
      </w:r>
    </w:p>
    <w:p>
      <w:pPr>
        <w:pStyle w:val="ListParagraph"/>
        <w:numPr>
          <w:ilvl w:val="0"/>
          <w:numId w:val="5"/>
        </w:numPr>
        <w:spacing w:after="60" w:line="276"/>
        <w:jc w:val="both"/>
      </w:pPr>
      <w:r>
        <w:rPr>
          <w:rFonts w:ascii="Times New Roman" w:cs="Times New Roman" w:eastAsia="Times New Roman" w:hAnsi="Times New Roman"/>
          <w:color w:val="000000"/>
        </w:rPr>
        <w:t xml:space="preserve">La revisión continua del punto de reorden queda modelada como un evento: cada salida confirmada actualiza la posición de inventario y, si corresponde, crea una solicitud sin duplicar las compras en curso.</w:t>
      </w:r>
    </w:p>
    <w:p>
      <w:pPr>
        <w:pStyle w:val="ListParagraph"/>
        <w:numPr>
          <w:ilvl w:val="0"/>
          <w:numId w:val="5"/>
        </w:numPr>
        <w:spacing w:after="60" w:line="276"/>
        <w:jc w:val="both"/>
      </w:pPr>
      <w:r>
        <w:rPr>
          <w:rFonts w:ascii="Times New Roman" w:cs="Times New Roman" w:eastAsia="Times New Roman" w:hAnsi="Times New Roman"/>
          <w:color w:val="000000"/>
        </w:rPr>
        <w:t xml:space="preserve">El desacople queda demostrado en la figura 11: una falla del WMS no detiene el trabajo, no duplica movimientos y deja una incidencia con su causa.</w:t>
      </w:r>
    </w:p>
    <w:p>
      <w:pPr>
        <w:spacing w:after="60"/>
      </w:pPr>
    </w:p>
    <w:p>
      <w:pPr>
        <w:spacing w:after="120" w:line="276"/>
        <w:jc w:val="both"/>
      </w:pPr>
      <w:r>
        <w:rPr>
          <w:rFonts w:ascii="Times New Roman" w:cs="Times New Roman" w:eastAsia="Times New Roman" w:hAnsi="Times New Roman"/>
          <w:b/>
          <w:bCs/>
          <w:color w:val="000000"/>
        </w:rPr>
        <w:t xml:space="preserve">Recomendaciones para la fase de desarrollo:</w:t>
      </w:r>
    </w:p>
    <w:p>
      <w:pPr>
        <w:pStyle w:val="ListParagraph"/>
        <w:numPr>
          <w:ilvl w:val="0"/>
          <w:numId w:val="6"/>
        </w:numPr>
        <w:spacing w:after="60" w:line="276"/>
        <w:jc w:val="both"/>
      </w:pPr>
      <w:r>
        <w:rPr>
          <w:rFonts w:ascii="Times New Roman" w:cs="Times New Roman" w:eastAsia="Times New Roman" w:hAnsi="Times New Roman"/>
          <w:color w:val="000000"/>
        </w:rPr>
        <w:t xml:space="preserve">Implementar primero las tablas y estados de los flujos de las figuras 9, 10 y 11, que son los que se demostrarán.</w:t>
      </w:r>
    </w:p>
    <w:p>
      <w:pPr>
        <w:pStyle w:val="ListParagraph"/>
        <w:numPr>
          <w:ilvl w:val="0"/>
          <w:numId w:val="6"/>
        </w:numPr>
        <w:spacing w:after="60" w:line="276"/>
        <w:jc w:val="both"/>
      </w:pPr>
      <w:r>
        <w:rPr>
          <w:rFonts w:ascii="Times New Roman" w:cs="Times New Roman" w:eastAsia="Times New Roman" w:hAnsi="Times New Roman"/>
          <w:color w:val="000000"/>
        </w:rPr>
        <w:t xml:space="preserve">Construir el WMS y el ERP como servicios simulados que respeten los contratos de la sección 8.</w:t>
      </w:r>
    </w:p>
    <w:p>
      <w:pPr>
        <w:pStyle w:val="ListParagraph"/>
        <w:numPr>
          <w:ilvl w:val="0"/>
          <w:numId w:val="6"/>
        </w:numPr>
        <w:spacing w:after="60" w:line="276"/>
        <w:jc w:val="both"/>
      </w:pPr>
      <w:r>
        <w:rPr>
          <w:rFonts w:ascii="Times New Roman" w:cs="Times New Roman" w:eastAsia="Times New Roman" w:hAnsi="Times New Roman"/>
          <w:color w:val="000000"/>
        </w:rPr>
        <w:t xml:space="preserve">Probar con Postman cada código de causa de la sección 8.4.</w:t>
      </w:r>
    </w:p>
    <w:p>
      <w:pPr>
        <w:spacing w:after="60"/>
      </w:pPr>
    </w:p>
    <w:p>
      <w:pPr>
        <w:pStyle w:val="Heading1"/>
      </w:pPr>
      <w:r>
        <w:rPr>
          <w:rFonts w:ascii="Times New Roman" w:cs="Times New Roman" w:eastAsia="Times New Roman" w:hAnsi="Times New Roman"/>
          <w:b/>
          <w:bCs/>
          <w:color w:val="000000"/>
        </w:rPr>
        <w:t xml:space="preserve">Referencias</w:t>
      </w:r>
    </w:p>
    <w:p>
      <w:pPr>
        <w:spacing w:after="120" w:line="276"/>
        <w:ind w:left="720" w:hanging="720"/>
      </w:pPr>
      <w:r>
        <w:rPr>
          <w:rFonts w:ascii="Times New Roman" w:cs="Times New Roman" w:eastAsia="Times New Roman" w:hAnsi="Times New Roman"/>
          <w:color w:val="000000"/>
        </w:rPr>
        <w:t xml:space="preserve">Chen, P. P. (1976). The entity-relationship model: Toward a unified view of data. </w:t>
      </w:r>
      <w:r>
        <w:rPr>
          <w:rFonts w:ascii="Times New Roman" w:cs="Times New Roman" w:eastAsia="Times New Roman" w:hAnsi="Times New Roman"/>
          <w:i/>
          <w:iCs/>
          <w:color w:val="000000"/>
        </w:rPr>
        <w:t xml:space="preserve">ACM Transactions on Database Systems, 1</w:t>
      </w:r>
      <w:r>
        <w:rPr>
          <w:rFonts w:ascii="Times New Roman" w:cs="Times New Roman" w:eastAsia="Times New Roman" w:hAnsi="Times New Roman"/>
          <w:color w:val="000000"/>
        </w:rPr>
        <w:t xml:space="preserve">(1), 9–36. https://doi.org/10.1145/320434.320440</w:t>
      </w:r>
    </w:p>
    <w:p>
      <w:pPr>
        <w:spacing w:after="120" w:line="276"/>
        <w:ind w:left="720" w:hanging="720"/>
      </w:pPr>
      <w:r>
        <w:rPr>
          <w:rFonts w:ascii="Times New Roman" w:cs="Times New Roman" w:eastAsia="Times New Roman" w:hAnsi="Times New Roman"/>
          <w:color w:val="000000"/>
        </w:rPr>
        <w:t xml:space="preserve">DeMarco, T. (1979). </w:t>
      </w:r>
      <w:r>
        <w:rPr>
          <w:rFonts w:ascii="Times New Roman" w:cs="Times New Roman" w:eastAsia="Times New Roman" w:hAnsi="Times New Roman"/>
          <w:i/>
          <w:iCs/>
          <w:color w:val="000000"/>
        </w:rPr>
        <w:t xml:space="preserve">Structured analysis and system specification</w:t>
      </w:r>
      <w:r>
        <w:rPr>
          <w:rFonts w:ascii="Times New Roman" w:cs="Times New Roman" w:eastAsia="Times New Roman" w:hAnsi="Times New Roman"/>
          <w:color w:val="000000"/>
        </w:rPr>
        <w:t xml:space="preserve">. Yourdon Press.</w:t>
      </w:r>
    </w:p>
    <w:p>
      <w:pPr>
        <w:spacing w:after="120" w:line="276"/>
        <w:ind w:left="720" w:hanging="720"/>
      </w:pPr>
      <w:r>
        <w:rPr>
          <w:rFonts w:ascii="Times New Roman" w:cs="Times New Roman" w:eastAsia="Times New Roman" w:hAnsi="Times New Roman"/>
          <w:color w:val="000000"/>
        </w:rPr>
        <w:t xml:space="preserve">Elmasri, R., y Navathe, S. B. (2016). </w:t>
      </w:r>
      <w:r>
        <w:rPr>
          <w:rFonts w:ascii="Times New Roman" w:cs="Times New Roman" w:eastAsia="Times New Roman" w:hAnsi="Times New Roman"/>
          <w:i/>
          <w:iCs/>
          <w:color w:val="000000"/>
        </w:rPr>
        <w:t xml:space="preserve">Fundamentals of database systems</w:t>
      </w:r>
      <w:r>
        <w:rPr>
          <w:rFonts w:ascii="Times New Roman" w:cs="Times New Roman" w:eastAsia="Times New Roman" w:hAnsi="Times New Roman"/>
          <w:color w:val="000000"/>
        </w:rPr>
        <w:t xml:space="preserve"> (7.ª ed.). Pearson.</w:t>
      </w:r>
    </w:p>
    <w:p>
      <w:pPr>
        <w:spacing w:after="120" w:line="276"/>
        <w:ind w:left="720" w:hanging="720"/>
      </w:pPr>
      <w:r>
        <w:rPr>
          <w:rFonts w:ascii="Times New Roman" w:cs="Times New Roman" w:eastAsia="Times New Roman" w:hAnsi="Times New Roman"/>
          <w:color w:val="000000"/>
        </w:rPr>
        <w:t xml:space="preserve">Hohpe, G., y Woolf, B. (2003). </w:t>
      </w:r>
      <w:r>
        <w:rPr>
          <w:rFonts w:ascii="Times New Roman" w:cs="Times New Roman" w:eastAsia="Times New Roman" w:hAnsi="Times New Roman"/>
          <w:i/>
          <w:iCs/>
          <w:color w:val="000000"/>
        </w:rPr>
        <w:t xml:space="preserve">Enterprise integration patterns: Designing, building, and deploying messaging solutions</w:t>
      </w:r>
      <w:r>
        <w:rPr>
          <w:rFonts w:ascii="Times New Roman" w:cs="Times New Roman" w:eastAsia="Times New Roman" w:hAnsi="Times New Roman"/>
          <w:color w:val="000000"/>
        </w:rPr>
        <w:t xml:space="preserve">. Addison-Wesley.</w:t>
      </w:r>
    </w:p>
    <w:p>
      <w:pPr>
        <w:spacing w:after="120" w:line="276"/>
        <w:ind w:left="720" w:hanging="720"/>
      </w:pPr>
      <w:r>
        <w:rPr>
          <w:rFonts w:ascii="Times New Roman" w:cs="Times New Roman" w:eastAsia="Times New Roman" w:hAnsi="Times New Roman"/>
          <w:color w:val="000000"/>
        </w:rPr>
        <w:t xml:space="preserve">International Accounting Standards Board. (2003). </w:t>
      </w:r>
      <w:r>
        <w:rPr>
          <w:rFonts w:ascii="Times New Roman" w:cs="Times New Roman" w:eastAsia="Times New Roman" w:hAnsi="Times New Roman"/>
          <w:i/>
          <w:iCs/>
          <w:color w:val="000000"/>
        </w:rPr>
        <w:t xml:space="preserve">NIC 2: Inventarios</w:t>
      </w:r>
      <w:r>
        <w:rPr>
          <w:rFonts w:ascii="Times New Roman" w:cs="Times New Roman" w:eastAsia="Times New Roman" w:hAnsi="Times New Roman"/>
          <w:color w:val="000000"/>
        </w:rPr>
        <w:t xml:space="preserve">. IFRS Foundation.</w:t>
      </w:r>
    </w:p>
    <w:p>
      <w:pPr>
        <w:spacing w:after="120" w:line="276"/>
        <w:ind w:left="720" w:hanging="720"/>
      </w:pPr>
      <w:r>
        <w:rPr>
          <w:rFonts w:ascii="Times New Roman" w:cs="Times New Roman" w:eastAsia="Times New Roman" w:hAnsi="Times New Roman"/>
          <w:color w:val="000000"/>
        </w:rPr>
        <w:t xml:space="preserve">Object Management Group. (2017). </w:t>
      </w:r>
      <w:r>
        <w:rPr>
          <w:rFonts w:ascii="Times New Roman" w:cs="Times New Roman" w:eastAsia="Times New Roman" w:hAnsi="Times New Roman"/>
          <w:i/>
          <w:iCs/>
          <w:color w:val="000000"/>
        </w:rPr>
        <w:t xml:space="preserve">Unified Modeling Language (UML)</w:t>
      </w:r>
      <w:r>
        <w:rPr>
          <w:rFonts w:ascii="Times New Roman" w:cs="Times New Roman" w:eastAsia="Times New Roman" w:hAnsi="Times New Roman"/>
          <w:color w:val="000000"/>
        </w:rPr>
        <w:t xml:space="preserve"> (versión 2.5.1). https://www.omg.org/spec/UML/2.5.1/</w:t>
      </w:r>
    </w:p>
    <w:p>
      <w:pPr>
        <w:spacing w:after="120" w:line="276"/>
        <w:ind w:left="720" w:hanging="720"/>
      </w:pPr>
      <w:r>
        <w:rPr>
          <w:rFonts w:ascii="Times New Roman" w:cs="Times New Roman" w:eastAsia="Times New Roman" w:hAnsi="Times New Roman"/>
          <w:color w:val="000000"/>
        </w:rPr>
        <w:t xml:space="preserve">Richardson, C. (2018). </w:t>
      </w:r>
      <w:r>
        <w:rPr>
          <w:rFonts w:ascii="Times New Roman" w:cs="Times New Roman" w:eastAsia="Times New Roman" w:hAnsi="Times New Roman"/>
          <w:i/>
          <w:iCs/>
          <w:color w:val="000000"/>
        </w:rPr>
        <w:t xml:space="preserve">Microservices patterns</w:t>
      </w:r>
      <w:r>
        <w:rPr>
          <w:rFonts w:ascii="Times New Roman" w:cs="Times New Roman" w:eastAsia="Times New Roman" w:hAnsi="Times New Roman"/>
          <w:color w:val="000000"/>
        </w:rPr>
        <w:t xml:space="preserve">. Manning.</w:t>
      </w:r>
    </w:p>
    <w:p>
      <w:pPr>
        <w:spacing w:after="120" w:line="276"/>
        <w:ind w:left="720" w:hanging="720"/>
      </w:pPr>
      <w:r>
        <w:rPr>
          <w:rFonts w:ascii="Times New Roman" w:cs="Times New Roman" w:eastAsia="Times New Roman" w:hAnsi="Times New Roman"/>
          <w:color w:val="000000"/>
        </w:rPr>
        <w:t xml:space="preserve">Yourdon, E. (1989). </w:t>
      </w:r>
      <w:r>
        <w:rPr>
          <w:rFonts w:ascii="Times New Roman" w:cs="Times New Roman" w:eastAsia="Times New Roman" w:hAnsi="Times New Roman"/>
          <w:i/>
          <w:iCs/>
          <w:color w:val="000000"/>
        </w:rPr>
        <w:t xml:space="preserve">Modern structured analysis</w:t>
      </w:r>
      <w:r>
        <w:rPr>
          <w:rFonts w:ascii="Times New Roman" w:cs="Times New Roman" w:eastAsia="Times New Roman" w:hAnsi="Times New Roman"/>
          <w:color w:val="000000"/>
        </w:rPr>
        <w:t xml:space="preserve">. Prentice Hall.</w:t>
      </w:r>
    </w:p>
    <w:p>
      <w:pPr>
        <w:spacing w:after="120" w:line="276"/>
        <w:ind w:left="720" w:hanging="720"/>
      </w:pPr>
      <w:r>
        <w:rPr>
          <w:rFonts w:ascii="Times New Roman" w:cs="Times New Roman" w:eastAsia="Times New Roman" w:hAnsi="Times New Roman"/>
          <w:color w:val="000000"/>
        </w:rPr>
        <w:t xml:space="preserve">Equipo del proyecto. (2026). </w:t>
      </w:r>
      <w:r>
        <w:rPr>
          <w:rFonts w:ascii="Times New Roman" w:cs="Times New Roman" w:eastAsia="Times New Roman" w:hAnsi="Times New Roman"/>
          <w:i/>
          <w:iCs/>
          <w:color w:val="000000"/>
        </w:rPr>
        <w:t xml:space="preserve">Fase conceptual del sistema de inventarios MRO</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 xml:space="preserve">Propuesta funcional: módulos de la solución para la trazabilidad del mantenimiento</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 xml:space="preserve">Propuesta tecnológica: arquitectura del sistema de trazabilidad</w:t>
      </w:r>
      <w:r>
        <w:rPr>
          <w:rFonts w:ascii="Times New Roman" w:cs="Times New Roman" w:eastAsia="Times New Roman" w:hAnsi="Times New Roman"/>
          <w:color w:val="000000"/>
        </w:rPr>
        <w:t xml:space="preserve">; </w:t>
      </w:r>
      <w:r>
        <w:rPr>
          <w:rFonts w:ascii="Times New Roman" w:cs="Times New Roman" w:eastAsia="Times New Roman" w:hAnsi="Times New Roman"/>
          <w:i/>
          <w:iCs/>
          <w:color w:val="000000"/>
        </w:rPr>
        <w:t xml:space="preserve">Análisis del sistema de mantenimiento</w:t>
      </w:r>
      <w:r>
        <w:rPr>
          <w:rFonts w:ascii="Times New Roman" w:cs="Times New Roman" w:eastAsia="Times New Roman" w:hAnsi="Times New Roman"/>
          <w:color w:val="000000"/>
        </w:rPr>
        <w:t xml:space="preserve">. Universidad Privada Boliviana.</w:t>
      </w:r>
    </w:p>
    <w:p>
      <w:pPr>
        <w:pStyle w:val="Heading1"/>
      </w:pPr>
      <w:r>
        <w:rPr>
          <w:rFonts w:ascii="Times New Roman" w:cs="Times New Roman" w:eastAsia="Times New Roman" w:hAnsi="Times New Roman"/>
          <w:b/>
          <w:bCs/>
          <w:color w:val="000000"/>
        </w:rPr>
        <w:t xml:space="preserve">Anexo A. Guion para presentar la integración de los módulos</w:t>
      </w:r>
    </w:p>
    <w:p>
      <w:pPr>
        <w:spacing w:after="120" w:line="276"/>
        <w:jc w:val="both"/>
      </w:pPr>
      <w:r>
        <w:rPr>
          <w:rFonts w:ascii="Times New Roman" w:cs="Times New Roman" w:eastAsia="Times New Roman" w:hAnsi="Times New Roman"/>
          <w:color w:val="000000"/>
        </w:rPr>
        <w:t xml:space="preserve">Propuesta para una exposición de seis minutos, en el orden de los modelos.</w:t>
      </w:r>
    </w:p>
    <w:p>
      <w:pPr>
        <w:keepNext/>
        <w:spacing w:after="0" w:before="200"/>
      </w:pPr>
      <w:r>
        <w:rPr>
          <w:rFonts w:ascii="Times New Roman" w:cs="Times New Roman" w:eastAsia="Times New Roman" w:hAnsi="Times New Roman"/>
          <w:b/>
          <w:bCs/>
          <w:color w:val="000000"/>
        </w:rPr>
        <w:t xml:space="preserve">Tabla 22</w:t>
      </w:r>
    </w:p>
    <w:p>
      <w:pPr>
        <w:keepNext/>
        <w:spacing w:after="100"/>
      </w:pPr>
      <w:r>
        <w:rPr>
          <w:rFonts w:ascii="Times New Roman" w:cs="Times New Roman" w:eastAsia="Times New Roman" w:hAnsi="Times New Roman"/>
          <w:i/>
          <w:iCs/>
          <w:color w:val="000000"/>
        </w:rPr>
        <w:t xml:space="preserve">Guion de presentación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128"/>
        <w:gridCol w:w="6112"/>
      </w:tblGrid>
      <w:tr>
        <w:trPr>
          <w:cantSplit/>
          <w:tblHeader/>
        </w:trPr>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Minuto</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Figura</w:t>
            </w:r>
          </w:p>
        </w:tc>
        <w:tc>
          <w:tcPr>
            <w:tcW w:type="dxa" w:w="6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b/>
                <w:bCs/>
                <w:color w:val="000000"/>
                <w:sz w:val="20"/>
                <w:szCs w:val="20"/>
              </w:rPr>
              <w:t xml:space="preserve">Mensaje clave</w:t>
            </w:r>
          </w:p>
        </w:tc>
      </w:tr>
      <w:tr>
        <w:trPr>
          <w:cantSplit/>
          <w:tblHeader w:val="off"/>
        </w:trPr>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0:00–1:00</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Figura 1 y matriz CRUD</w:t>
            </w:r>
          </w:p>
        </w:tc>
        <w:tc>
          <w:tcPr>
            <w:tcW w:type="dxa" w:w="6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Cada dato tiene un dueño; los módulos se comunican por eventos y solo Integración habla con el WMS y el ERP</w:t>
            </w:r>
          </w:p>
        </w:tc>
      </w:tr>
      <w:tr>
        <w:trPr>
          <w:cantSplit/>
          <w:tblHeader w:val="off"/>
        </w:trPr>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1:00–2:00</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Figuras 3 y 4</w:t>
            </w:r>
          </w:p>
        </w:tc>
        <w:tc>
          <w:tcPr>
            <w:tcW w:type="dxa" w:w="6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El sistema y sus siete entidades externas; los cinco procesos del mantenimiento</w:t>
            </w:r>
          </w:p>
        </w:tc>
      </w:tr>
      <w:tr>
        <w:trPr>
          <w:cantSplit/>
          <w:tblHeader w:val="off"/>
        </w:trPr>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2:00–3:00</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Figura 5</w:t>
            </w:r>
          </w:p>
        </w:tc>
        <w:tc>
          <w:tcPr>
            <w:tcW w:type="dxa" w:w="6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reposición evalúa la posición de inventario, no solo el stock, para no duplicar compras</w:t>
            </w:r>
          </w:p>
        </w:tc>
      </w:tr>
      <w:tr>
        <w:trPr>
          <w:cantSplit/>
          <w:tblHeader w:val="off"/>
        </w:trPr>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3:00–4:00</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Figura 6</w:t>
            </w:r>
          </w:p>
        </w:tc>
        <w:tc>
          <w:tcPr>
            <w:tcW w:type="dxa" w:w="6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Las líneas entre colores son los puntos de integración en los datos</w:t>
            </w:r>
          </w:p>
        </w:tc>
      </w:tr>
      <w:tr>
        <w:trPr>
          <w:cantSplit/>
          <w:tblHeader w:val="off"/>
        </w:trPr>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4:00–5:00</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Figuras 7 y 9</w:t>
            </w:r>
          </w:p>
        </w:tc>
        <w:tc>
          <w:tcPr>
            <w:tcW w:type="dxa" w:w="6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La orden avanza cuando el WMS confirma; nunca antes</w:t>
            </w:r>
          </w:p>
        </w:tc>
      </w:tr>
      <w:tr>
        <w:trPr>
          <w:cantSplit/>
          <w:tblHeader w:val="off"/>
        </w:trPr>
        <w:tc>
          <w:tcPr>
            <w:tcW w:type="dxa" w:w="112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5:00–6:00</w:t>
            </w:r>
          </w:p>
        </w:tc>
        <w:tc>
          <w:tcPr>
            <w:tcW w:type="dxa" w:w="21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Figura 11</w:t>
            </w:r>
          </w:p>
        </w:tc>
        <w:tc>
          <w:tcPr>
            <w:tcW w:type="dxa" w:w="611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0" w:line="240"/>
            </w:pPr>
            <w:r>
              <w:rPr>
                <w:rFonts w:ascii="Times New Roman" w:cs="Times New Roman" w:eastAsia="Times New Roman" w:hAnsi="Times New Roman"/>
                <w:color w:val="000000"/>
                <w:sz w:val="20"/>
                <w:szCs w:val="20"/>
              </w:rPr>
              <w:t xml:space="preserve">Si el WMS cae, el trabajo sigue, no hay duplicados y la falla queda registrada con su causa</w:t>
            </w:r>
          </w:p>
        </w:tc>
      </w:tr>
    </w:tbl>
    <w:p>
      <w:pPr>
        <w:spacing w:after="120"/>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9a64137cb9cba144b84cf2b621a1ba3a6347c50.png"/><Relationship Id="rId9" Type="http://schemas.openxmlformats.org/officeDocument/2006/relationships/image" Target="media/89186b2e8e7d6fe988aaec8af63b9e3db512ddb7.png"/><Relationship Id="rId10" Type="http://schemas.openxmlformats.org/officeDocument/2006/relationships/image" Target="media/ec2d11fd611af9280247b2abed2be1c9f2642b96.png"/><Relationship Id="rId11" Type="http://schemas.openxmlformats.org/officeDocument/2006/relationships/image" Target="media/fa36c6190dccb9b34c43af75b0458c9f7a35944f.png"/><Relationship Id="rId12" Type="http://schemas.openxmlformats.org/officeDocument/2006/relationships/image" Target="media/37b7d209a9a87c2e6ae2b2c644da7296ee23d2e9.png"/><Relationship Id="rId13" Type="http://schemas.openxmlformats.org/officeDocument/2006/relationships/image" Target="media/fb61053e5763bfbdf6fb7c306f537d9e63413b67.png"/><Relationship Id="rId14" Type="http://schemas.openxmlformats.org/officeDocument/2006/relationships/image" Target="media/c355e3e0736d7bde276bafeb7e0278f544c852c0.png"/><Relationship Id="rId15" Type="http://schemas.openxmlformats.org/officeDocument/2006/relationships/image" Target="media/ef834ec9eb09df073eb210a0c040d4afd4f9282e.png"/><Relationship Id="rId16" Type="http://schemas.openxmlformats.org/officeDocument/2006/relationships/image" Target="media/7545fb34ecd43257ff4ccefd4855c7ab10ebe2e2.png"/><Relationship Id="rId17" Type="http://schemas.openxmlformats.org/officeDocument/2006/relationships/image" Target="media/9cc2390b154b921d6f1aba256953ee9c54ae7523.png"/><Relationship Id="rId18" Type="http://schemas.openxmlformats.org/officeDocument/2006/relationships/image" Target="media/e4acc00d195fb2e9ad026086991e94604657fb0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DE MODELADO DEL SISTEMA DE INFORMACIÓN</dc:title>
  <dc:creator>Tatiana Aramayo, Ariana Cordero, Patricia Quisbert y Melany Sonco</dc:creator>
  <cp:lastModifiedBy>Un-named</cp:lastModifiedBy>
  <cp:revision>1</cp:revision>
  <dcterms:created xsi:type="dcterms:W3CDTF">2026-10-20T23:20:02.787Z</dcterms:created>
  <dcterms:modified xsi:type="dcterms:W3CDTF">2026-10-20T23:20:02.787Z</dcterms:modified>
</cp:coreProperties>
</file>

<file path=docProps/custom.xml><?xml version="1.0" encoding="utf-8"?>
<Properties xmlns="http://schemas.openxmlformats.org/officeDocument/2006/custom-properties" xmlns:vt="http://schemas.openxmlformats.org/officeDocument/2006/docPropsVTypes"/>
</file>