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rFonts w:ascii="Montserrat" w:cs="Montserrat" w:eastAsia="Montserrat" w:hAnsi="Montserrat"/>
        </w:rPr>
      </w:pPr>
      <w:bookmarkStart w:colFirst="0" w:colLast="0" w:name="_2aiud1wn21bp" w:id="0"/>
      <w:bookmarkEnd w:id="0"/>
      <w:r w:rsidDel="00000000" w:rsidR="00000000" w:rsidRPr="00000000">
        <w:rPr>
          <w:rtl w:val="0"/>
        </w:rPr>
        <w:t xml:space="preserve">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>
          <w:rFonts w:ascii="Montserrat" w:cs="Montserrat" w:eastAsia="Montserrat" w:hAnsi="Montserrat"/>
        </w:rPr>
      </w:pPr>
      <w:bookmarkStart w:colFirst="0" w:colLast="0" w:name="_8mnew7txtgsk" w:id="1"/>
      <w:bookmarkEnd w:id="1"/>
      <w:r w:rsidDel="00000000" w:rsidR="00000000" w:rsidRPr="00000000">
        <w:rPr>
          <w:rtl w:val="0"/>
        </w:rPr>
        <w:t xml:space="preserve">Структура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Предлагается использовать следующую структуру проекта для всех лабораторных работ сразу: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src/                            (Top directory)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lab1/                         (Package)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Rational.java               (Class)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...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Main.java                   (Runnable)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lab2/                         (Package)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Artist.java                 (Class)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...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Main.java                   (Runnable)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playground/                   (Package)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TryingStreams.java          (Runnable)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ISummable.java              (Interface)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SummableImplementation.java (Class)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SomethingMore.java          (Runnable)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IDoNotKnowWhatIsThat.java   (Runnable)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Utils.java                  (static-Class)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tests/                        (Package)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lab1/                       (sub-Package)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    TestRational.java         (unit-test)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    TestRationalList.java     (unit-test)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    TestPolynom.java          (unit-test)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    TestIntegration.java      (intergration test)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lab2/                       (sub-Package)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    TestArtist.java           (unit-test)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    ...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            TestIntegration.java      (intergration test)</w:t>
      </w:r>
    </w:p>
    <w:p w:rsidR="00000000" w:rsidDel="00000000" w:rsidP="00000000" w:rsidRDefault="00000000" w:rsidRPr="00000000" w14:paraId="0000001D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вы используете Maven в IDEA, то, скорее всего, ваш проект </w:t>
      </w:r>
      <w:r w:rsidDel="00000000" w:rsidR="00000000" w:rsidRPr="00000000">
        <w:rPr>
          <w:rtl w:val="0"/>
        </w:rPr>
        <w:t xml:space="preserve">будет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автоматически структурирован немного иначе (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src/{main,test}/java/lab{1,2,…}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Тесты необязательны, но желательны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Запускаемый файл Main.java содержит в себе код, проверяющий работоспособность всех реализованных классов и их взаимодействий. Хорошо написанный Main.java может заменить собой тесты, если покрыты все краевые случаи и сценарии использования классов.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Пакет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playground</w:t>
      </w:r>
      <w:r w:rsidDel="00000000" w:rsidR="00000000" w:rsidRPr="00000000">
        <w:rPr>
          <w:rtl w:val="0"/>
        </w:rPr>
        <w:t xml:space="preserve"> включает в себя всё, что вам угодно, не относится к лабам, и существует лишь затем, чтобы не создавать отдельный проект для всяких мелочей, которые вы хотите попробовать.</w:t>
      </w:r>
    </w:p>
    <w:p w:rsidR="00000000" w:rsidDel="00000000" w:rsidP="00000000" w:rsidRDefault="00000000" w:rsidRPr="00000000" w14:paraId="00000022">
      <w:pPr>
        <w:pStyle w:val="Heading2"/>
        <w:contextualSpacing w:val="0"/>
        <w:rPr/>
      </w:pPr>
      <w:bookmarkStart w:colFirst="0" w:colLast="0" w:name="_q9ptpi560kw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contextualSpacing w:val="0"/>
        <w:rPr/>
      </w:pPr>
      <w:bookmarkStart w:colFirst="0" w:colLast="0" w:name="_7ekd3lz8s33z" w:id="3"/>
      <w:bookmarkEnd w:id="3"/>
      <w:r w:rsidDel="00000000" w:rsidR="00000000" w:rsidRPr="00000000">
        <w:rPr>
          <w:rtl w:val="0"/>
        </w:rPr>
        <w:t xml:space="preserve">Во время написание кода</w:t>
      </w:r>
    </w:p>
    <w:p w:rsidR="00000000" w:rsidDel="00000000" w:rsidP="00000000" w:rsidRDefault="00000000" w:rsidRPr="00000000" w14:paraId="00000024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  <w:t xml:space="preserve">Пожалуйста, пишите красивый код, а именно: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Имя класса/интерфейса – существительное в единственном числе, с большой буквы в стиле TitleCase.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RationalList, ClientFactory, EntityBuilder, Task, CalculationStrategy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функции (метода) – глагол, отвечающий за то, что делает функция, с маленькой буквы в стиле camelCase.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getName, isAvailable, countLargerThan, getOptimalRoute, runApp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локальной переменной – ёмкое существительное, нуВыПонялиВКакомСтиле.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inputFileName, taskStatus, idToNameMapping (id2name/mapIdName)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Имя поля </w:t>
      </w:r>
      <w:r w:rsidDel="00000000" w:rsidR="00000000" w:rsidRPr="00000000">
        <w:rPr>
          <w:rtl w:val="0"/>
        </w:rPr>
        <w:t xml:space="preserve">класса похоже на </w:t>
      </w:r>
      <w:r w:rsidDel="00000000" w:rsidR="00000000" w:rsidRPr="00000000">
        <w:rPr>
          <w:rtl w:val="0"/>
        </w:rPr>
        <w:t xml:space="preserve">локалку, но не должно содержать имени класса: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name, но не planetName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isDone, но не isTaskDone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position, но не objectPosition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Старайтесь избегать однобуквенных имён, кроме: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всеми любимых переменных в цикле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(i,j,k)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временных переменных с понятным предназначением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(String s, Time t)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координат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(x,y,z)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Пожалуйста, старайтесь реализовать в своих классах следующие методы: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rPr/>
      </w:pPr>
      <w:r w:rsidDel="00000000" w:rsidR="00000000" w:rsidRPr="00000000">
        <w:rPr>
          <w:rtl w:val="0"/>
        </w:rPr>
        <w:t xml:space="preserve">String toString()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Пожалуйста, используйте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IDEA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contextualSpacing w:val="0"/>
        <w:rPr/>
      </w:pPr>
      <w:bookmarkStart w:colFirst="0" w:colLast="0" w:name="_wj2gderaj98b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contextualSpacing w:val="0"/>
        <w:rPr>
          <w:rFonts w:ascii="Montserrat" w:cs="Montserrat" w:eastAsia="Montserrat" w:hAnsi="Montserrat"/>
        </w:rPr>
      </w:pPr>
      <w:bookmarkStart w:colFirst="0" w:colLast="0" w:name="_o8xit92296dz" w:id="5"/>
      <w:bookmarkEnd w:id="5"/>
      <w:r w:rsidDel="00000000" w:rsidR="00000000" w:rsidRPr="00000000">
        <w:rPr>
          <w:rtl w:val="0"/>
        </w:rPr>
        <w:t xml:space="preserve">Перед сдачей лабы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Ctrl+Alt+L</w:t>
      </w:r>
      <w:r w:rsidDel="00000000" w:rsidR="00000000" w:rsidRPr="00000000">
        <w:rPr>
          <w:rtl w:val="0"/>
        </w:rPr>
        <w:t xml:space="preserve"> позволит вам автоматически форматировать код в соответствии с принятым в джаве code-style’ом. Также можно включить реформат импортов (в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Ctrl+Shift+Alt+L</w:t>
      </w:r>
      <w:r w:rsidDel="00000000" w:rsidR="00000000" w:rsidRPr="00000000">
        <w:rPr>
          <w:rtl w:val="0"/>
        </w:rPr>
        <w:t xml:space="preserve">), что позволит автоматически приводить импорты в опрятный вид. Форматирование можно тонко настроить там же, где и всегда: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Ctrl+Alt+S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Посмотрите на все </w:t>
      </w:r>
      <w:r w:rsidDel="00000000" w:rsidR="00000000" w:rsidRPr="00000000">
        <w:rPr>
          <w:shd w:fill="ffe599" w:val="clear"/>
          <w:rtl w:val="0"/>
        </w:rPr>
        <w:t xml:space="preserve">подсвечиваемые</w:t>
      </w:r>
      <w:r w:rsidDel="00000000" w:rsidR="00000000" w:rsidRPr="00000000">
        <w:rPr>
          <w:rtl w:val="0"/>
        </w:rPr>
        <w:t xml:space="preserve"> IDEA’ей участки кода (ошибки/варнинги) и постарайтесь их исправить с помощью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Alt+Enter</w:t>
      </w:r>
      <w:r w:rsidDel="00000000" w:rsidR="00000000" w:rsidRPr="00000000">
        <w:rPr>
          <w:rtl w:val="0"/>
        </w:rPr>
        <w:t xml:space="preserve">. Однако, в некоторых случаях следует делать это аккуратно – не всегда стоит соглашаться на, например, замену “public” на “package-private”.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ваш код (Main.java) хотя бы раз и проверьте, что выводимые в консоли сообщения репрезентативно отражают работу и взаимодействие написанных вами классов.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Удостоверьтесь, что вы проверили все, или хотя бы основные, крайние и граничные случаи: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отрицательные числа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нецелые числа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другие странные числа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пустые строки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большие строки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кривые строки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неправильный порядок инициализации объектов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 многое другое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×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after="12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etbrains.com/idea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