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Calibri" w:cs="Calibri" w:eastAsia="Calibri" w:hAnsi="Calibri"/>
          <w:b/>
          <w:bCs/>
          <w:color w:val="16324F"/>
          <w:sz w:val="120"/>
          <w:szCs w:val="120"/>
        </w:rPr>
        <w:t xml:space="preserve">✶</w:t>
      </w:r>
    </w:p>
    <w:p>
      <w:pPr>
        <w:spacing w:after="40" w:before="0"/>
        <w:jc w:val="center"/>
      </w:pPr>
      <w:r>
        <w:rPr>
          <w:rFonts w:ascii="Calibri" w:cs="Calibri" w:eastAsia="Calibri" w:hAnsi="Calibri"/>
          <w:b/>
          <w:bCs/>
          <w:color w:val="16324F"/>
          <w:sz w:val="40"/>
          <w:szCs w:val="40"/>
        </w:rPr>
        <w:t xml:space="preserve">Boussole</w:t>
      </w:r>
    </w:p>
    <w:p>
      <w:pPr>
        <w:spacing w:after="320" w:before="0"/>
        <w:jc w:val="center"/>
      </w:pPr>
      <w:r>
        <w:rPr>
          <w:rFonts w:ascii="Calibri" w:cs="Calibri" w:eastAsia="Calibri" w:hAnsi="Calibri"/>
          <w:caps/>
          <w:color w:val="4A6C54"/>
          <w:spacing w:val="30"/>
          <w:sz w:val="18"/>
          <w:szCs w:val="18"/>
        </w:rPr>
        <w:t xml:space="preserve">boussole.elafrit.com</w:t>
      </w:r>
    </w:p>
    <w:p>
      <w:pPr>
        <w:spacing w:after="60" w:before="0"/>
        <w:jc w:val="center"/>
      </w:pPr>
      <w:r>
        <w:rPr>
          <w:rFonts w:ascii="Calibri" w:cs="Calibri" w:eastAsia="Calibri" w:hAnsi="Calibri"/>
          <w:b/>
          <w:bCs/>
          <w:caps/>
          <w:color w:val="4A6C54"/>
          <w:spacing w:val="40"/>
          <w:sz w:val="22"/>
          <w:szCs w:val="22"/>
        </w:rPr>
        <w:t xml:space="preserve">Cnam · UE FAD130</w:t>
      </w:r>
    </w:p>
    <w:p>
      <w:pPr>
        <w:spacing w:after="60" w:before="0"/>
        <w:jc w:val="center"/>
      </w:pPr>
      <w:r>
        <w:rPr>
          <w:rFonts w:ascii="Calibri" w:cs="Calibri" w:eastAsia="Calibri" w:hAnsi="Calibri"/>
          <w:b/>
          <w:bCs/>
          <w:color w:val="16324F"/>
          <w:sz w:val="52"/>
          <w:szCs w:val="52"/>
        </w:rPr>
        <w:t xml:space="preserve">Auto-évaluation de fin de formation</w:t>
      </w:r>
    </w:p>
    <w:p>
      <w:pPr>
        <w:spacing w:after="40" w:before="0"/>
        <w:jc w:val="center"/>
      </w:pPr>
      <w:r>
        <w:rPr>
          <w:rFonts w:ascii="Calibri" w:cs="Calibri" w:eastAsia="Calibri" w:hAnsi="Calibri"/>
          <w:i/>
          <w:iCs/>
          <w:color w:val="4C5A64"/>
          <w:sz w:val="24"/>
          <w:szCs w:val="24"/>
        </w:rPr>
        <w:t xml:space="preserve">Accompagner le parcours de formation et de transition professionnelle</w:t>
      </w:r>
    </w:p>
    <w:p>
      <w:pPr>
        <w:pBdr>
          <w:bottom w:val="single" w:color="7C9A85" w:sz="12" w:space="1"/>
        </w:pBdr>
        <w:spacing w:after="260" w:before="60"/>
      </w:pPr>
    </w:p>
    <w:p>
      <w:pPr>
        <w:spacing w:after="50" w:before="0"/>
        <w:jc w:val="center"/>
      </w:pPr>
      <w:r>
        <w:rPr>
          <w:rFonts w:ascii="Calibri" w:cs="Calibri" w:eastAsia="Calibri" w:hAnsi="Calibri"/>
          <w:b/>
          <w:bCs/>
          <w:color w:val="16324F"/>
          <w:sz w:val="32"/>
          <w:szCs w:val="32"/>
        </w:rPr>
        <w:t xml:space="preserve">Mohamed EL AFRIT</w:t>
      </w:r>
    </w:p>
    <w:p>
      <w:pPr>
        <w:spacing w:after="30" w:before="0"/>
        <w:jc w:val="center"/>
      </w:pPr>
      <w:r>
        <w:rPr>
          <w:rFonts w:ascii="Calibri" w:cs="Calibri" w:eastAsia="Calibri" w:hAnsi="Calibri"/>
          <w:color w:val="1F2A33"/>
          <w:sz w:val="24"/>
          <w:szCs w:val="24"/>
        </w:rPr>
        <w:t xml:space="preserve">Intervenante : Samia Chementel</w:t>
      </w:r>
    </w:p>
    <w:p>
      <w:pPr>
        <w:spacing w:after="360" w:before="0"/>
        <w:jc w:val="center"/>
      </w:pPr>
      <w:r>
        <w:rPr>
          <w:rFonts w:ascii="Calibri" w:cs="Calibri" w:eastAsia="Calibri" w:hAnsi="Calibri"/>
          <w:color w:val="4C5A64"/>
          <w:sz w:val="22"/>
          <w:szCs w:val="22"/>
        </w:rPr>
        <w:t xml:space="preserve">Juin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9A85" w:sz="6" w:space="1"/>
              <w:left w:val="single" w:color="7C9A85" w:sz="6" w:space="1"/>
              <w:bottom w:val="single" w:color="7C9A85" w:sz="6" w:space="1"/>
              <w:right w:val="single" w:color="7C9A85" w:sz="6" w:space="1"/>
            </w:tcBorders>
            <w:shd w:fill="E7EEE8" w:val="clear"/>
            <w:tcMar>
              <w:top w:type="dxa" w:w="200"/>
              <w:left w:type="dxa" w:w="280"/>
              <w:bottom w:type="dxa" w:w="200"/>
              <w:right w:type="dxa" w:w="280"/>
            </w:tcMar>
          </w:tcPr>
          <w:p>
            <w:pPr>
              <w:spacing w:after="90"/>
              <w:jc w:val="center"/>
            </w:pPr>
            <w:r>
              <w:rPr>
                <w:rFonts w:ascii="Calibri" w:cs="Calibri" w:eastAsia="Calibri" w:hAnsi="Calibri"/>
                <w:b/>
                <w:bCs/>
                <w:caps/>
                <w:color w:val="16324F"/>
                <w:spacing w:val="30"/>
                <w:sz w:val="20"/>
                <w:szCs w:val="20"/>
              </w:rPr>
              <w:t xml:space="preserve">Ressources en ligne</w:t>
            </w:r>
          </w:p>
          <w:p>
            <w:pPr>
              <w:spacing w:after="60"/>
              <w:jc w:val="center"/>
            </w:pPr>
            <w:r>
              <w:rPr>
                <w:rFonts w:ascii="Calibri" w:cs="Calibri" w:eastAsia="Calibri" w:hAnsi="Calibri"/>
                <w:b/>
                <w:bCs/>
                <w:color w:val="1F2A33"/>
                <w:sz w:val="22"/>
                <w:szCs w:val="22"/>
              </w:rPr>
              <w:t xml:space="preserve">Application Boussole   </w:t>
            </w:r>
            <w:hyperlink w:history="1" r:id="rIdrul1i7vzisopjhocryc5f">
              <w:r>
                <w:rPr>
                  <w:rFonts w:ascii="Calibri" w:cs="Calibri" w:eastAsia="Calibri" w:hAnsi="Calibri"/>
                  <w:color w:val="2F5D7C"/>
                  <w:sz w:val="22"/>
                  <w:szCs w:val="22"/>
                  <w:u w:val="single"/>
                </w:rPr>
                <w:t xml:space="preserve">boussole.elafrit.com</w:t>
              </w:r>
            </w:hyperlink>
          </w:p>
          <w:p>
            <w:pPr>
              <w:spacing w:after="60"/>
              <w:jc w:val="center"/>
            </w:pPr>
            <w:r>
              <w:rPr>
                <w:rFonts w:ascii="Calibri" w:cs="Calibri" w:eastAsia="Calibri" w:hAnsi="Calibri"/>
                <w:b/>
                <w:bCs/>
                <w:color w:val="1F2A33"/>
                <w:sz w:val="22"/>
                <w:szCs w:val="22"/>
              </w:rPr>
              <w:t xml:space="preserve">Site personnel   </w:t>
            </w:r>
            <w:hyperlink w:history="1" r:id="rIdcunsgmzs6sj1ear895b76">
              <w:r>
                <w:rPr>
                  <w:rFonts w:ascii="Calibri" w:cs="Calibri" w:eastAsia="Calibri" w:hAnsi="Calibri"/>
                  <w:color w:val="2F5D7C"/>
                  <w:sz w:val="22"/>
                  <w:szCs w:val="22"/>
                  <w:u w:val="single"/>
                </w:rPr>
                <w:t xml:space="preserve">www.mohamedelafrit.com</w:t>
              </w:r>
            </w:hyperlink>
          </w:p>
          <w:p>
            <w:pPr>
              <w:spacing w:after="0"/>
              <w:jc w:val="center"/>
            </w:pPr>
            <w:r>
              <w:rPr>
                <w:rFonts w:ascii="Calibri" w:cs="Calibri" w:eastAsia="Calibri" w:hAnsi="Calibri"/>
                <w:b/>
                <w:bCs/>
                <w:color w:val="1F2A33"/>
                <w:sz w:val="22"/>
                <w:szCs w:val="22"/>
              </w:rPr>
              <w:t xml:space="preserve">Livrables FAD130   </w:t>
            </w:r>
            <w:hyperlink w:history="1" r:id="rIdcxopbnpbgsn2p_ouqldrz">
              <w:r>
                <w:rPr>
                  <w:rFonts w:ascii="Calibri" w:cs="Calibri" w:eastAsia="Calibri" w:hAnsi="Calibri"/>
                  <w:color w:val="2F5D7C"/>
                  <w:sz w:val="22"/>
                  <w:szCs w:val="22"/>
                  <w:u w:val="single"/>
                </w:rPr>
                <w:t xml:space="preserve">www.mohamedelafrit.com/fad130</w:t>
              </w:r>
            </w:hyperlink>
          </w:p>
        </w:tc>
      </w:tr>
    </w:tbl>
    <w:p>
      <w:r>
        <w:br w:type="page"/>
      </w:r>
    </w:p>
    <w:p>
      <w:pPr>
        <w:spacing w:after="40" w:before="200"/>
      </w:pPr>
      <w:r>
        <w:rPr>
          <w:rFonts w:ascii="Calibri" w:cs="Calibri" w:eastAsia="Calibri" w:hAnsi="Calibri"/>
          <w:b/>
          <w:bCs/>
          <w:color w:val="16324F"/>
          <w:sz w:val="40"/>
          <w:szCs w:val="40"/>
        </w:rPr>
        <w:t xml:space="preserve">Sommaire</w:t>
      </w:r>
    </w:p>
    <w:p>
      <w:pPr>
        <w:pBdr>
          <w:bottom w:val="single" w:color="7C9A85" w:sz="12" w:space="1"/>
        </w:pBdr>
        <w:spacing w:after="220" w:before="40"/>
      </w:pPr>
    </w:p>
    <w:p>
      <w:pPr>
        <w:tabs>
          <w:tab w:val="left" w:pos="720"/>
        </w:tabs>
        <w:spacing w:after="150" w:line="276"/>
      </w:pPr>
      <w:r>
        <w:rPr>
          <w:rFonts w:ascii="Calibri" w:cs="Calibri" w:eastAsia="Calibri" w:hAnsi="Calibri"/>
          <w:b/>
          <w:bCs/>
          <w:color w:val="FFFFFF"/>
          <w:sz w:val="22"/>
          <w:szCs w:val="22"/>
          <w:shd w:fill="16324F" w:val="clear"/>
        </w:rPr>
        <w:t xml:space="preserve"> 1 </w:t>
      </w:r>
      <w:r>
        <w:rPr>
          <w:rFonts w:ascii="Calibri" w:cs="Calibri" w:eastAsia="Calibri" w:hAnsi="Calibri"/>
        </w:rPr>
        <w:t xml:space="preserve">	</w:t>
      </w:r>
      <w:r>
        <w:rPr>
          <w:rFonts w:ascii="Calibri" w:cs="Calibri" w:eastAsia="Calibri" w:hAnsi="Calibri"/>
          <w:color w:val="16324F"/>
          <w:sz w:val="24"/>
          <w:szCs w:val="24"/>
        </w:rPr>
        <w:t xml:space="preserve">Synthèse de l’auto-évaluation</w:t>
      </w:r>
    </w:p>
    <w:p>
      <w:pPr>
        <w:tabs>
          <w:tab w:val="left" w:pos="720"/>
        </w:tabs>
        <w:spacing w:after="150" w:line="276"/>
      </w:pPr>
      <w:r>
        <w:rPr>
          <w:rFonts w:ascii="Calibri" w:cs="Calibri" w:eastAsia="Calibri" w:hAnsi="Calibri"/>
          <w:b/>
          <w:bCs/>
          <w:color w:val="FFFFFF"/>
          <w:sz w:val="22"/>
          <w:szCs w:val="22"/>
          <w:shd w:fill="16324F" w:val="clear"/>
        </w:rPr>
        <w:t xml:space="preserve"> 2 </w:t>
      </w:r>
      <w:r>
        <w:rPr>
          <w:rFonts w:ascii="Calibri" w:cs="Calibri" w:eastAsia="Calibri" w:hAnsi="Calibri"/>
        </w:rPr>
        <w:t xml:space="preserve">	</w:t>
      </w:r>
      <w:r>
        <w:rPr>
          <w:rFonts w:ascii="Calibri" w:cs="Calibri" w:eastAsia="Calibri" w:hAnsi="Calibri"/>
          <w:color w:val="16324F"/>
          <w:sz w:val="24"/>
          <w:szCs w:val="24"/>
        </w:rPr>
        <w:t xml:space="preserve">Critère 1 — Positionnement dans la relation d’accompagnement</w:t>
      </w:r>
    </w:p>
    <w:p>
      <w:pPr>
        <w:tabs>
          <w:tab w:val="left" w:pos="720"/>
        </w:tabs>
        <w:spacing w:after="150" w:line="276"/>
      </w:pPr>
      <w:r>
        <w:rPr>
          <w:rFonts w:ascii="Calibri" w:cs="Calibri" w:eastAsia="Calibri" w:hAnsi="Calibri"/>
          <w:b/>
          <w:bCs/>
          <w:color w:val="FFFFFF"/>
          <w:sz w:val="22"/>
          <w:szCs w:val="22"/>
          <w:shd w:fill="16324F" w:val="clear"/>
        </w:rPr>
        <w:t xml:space="preserve"> 3 </w:t>
      </w:r>
      <w:r>
        <w:rPr>
          <w:rFonts w:ascii="Calibri" w:cs="Calibri" w:eastAsia="Calibri" w:hAnsi="Calibri"/>
        </w:rPr>
        <w:t xml:space="preserve">	</w:t>
      </w:r>
      <w:r>
        <w:rPr>
          <w:rFonts w:ascii="Calibri" w:cs="Calibri" w:eastAsia="Calibri" w:hAnsi="Calibri"/>
          <w:color w:val="16324F"/>
          <w:sz w:val="24"/>
          <w:szCs w:val="24"/>
        </w:rPr>
        <w:t xml:space="preserve">Critère 2 — Positionnement dans la mise en œuvre de l’accompagnement</w:t>
      </w:r>
    </w:p>
    <w:p>
      <w:pPr>
        <w:tabs>
          <w:tab w:val="left" w:pos="720"/>
        </w:tabs>
        <w:spacing w:after="150" w:line="276"/>
      </w:pPr>
      <w:r>
        <w:rPr>
          <w:rFonts w:ascii="Calibri" w:cs="Calibri" w:eastAsia="Calibri" w:hAnsi="Calibri"/>
          <w:b/>
          <w:bCs/>
          <w:color w:val="FFFFFF"/>
          <w:sz w:val="22"/>
          <w:szCs w:val="22"/>
          <w:shd w:fill="16324F" w:val="clear"/>
        </w:rPr>
        <w:t xml:space="preserve"> 4 </w:t>
      </w:r>
      <w:r>
        <w:rPr>
          <w:rFonts w:ascii="Calibri" w:cs="Calibri" w:eastAsia="Calibri" w:hAnsi="Calibri"/>
        </w:rPr>
        <w:t xml:space="preserve">	</w:t>
      </w:r>
      <w:r>
        <w:rPr>
          <w:rFonts w:ascii="Calibri" w:cs="Calibri" w:eastAsia="Calibri" w:hAnsi="Calibri"/>
          <w:color w:val="16324F"/>
          <w:sz w:val="24"/>
          <w:szCs w:val="24"/>
        </w:rPr>
        <w:t xml:space="preserve">Critère 3 — Positionnement professionnel</w:t>
      </w:r>
    </w:p>
    <w:p>
      <w:pPr>
        <w:tabs>
          <w:tab w:val="left" w:pos="720"/>
        </w:tabs>
        <w:spacing w:after="150" w:line="276"/>
      </w:pPr>
      <w:r>
        <w:rPr>
          <w:rFonts w:ascii="Calibri" w:cs="Calibri" w:eastAsia="Calibri" w:hAnsi="Calibri"/>
          <w:b/>
          <w:bCs/>
          <w:color w:val="FFFFFF"/>
          <w:sz w:val="22"/>
          <w:szCs w:val="22"/>
          <w:shd w:fill="16324F" w:val="clear"/>
        </w:rPr>
        <w:t xml:space="preserve"> 5 </w:t>
      </w:r>
      <w:r>
        <w:rPr>
          <w:rFonts w:ascii="Calibri" w:cs="Calibri" w:eastAsia="Calibri" w:hAnsi="Calibri"/>
        </w:rPr>
        <w:t xml:space="preserve">	</w:t>
      </w:r>
      <w:r>
        <w:rPr>
          <w:rFonts w:ascii="Calibri" w:cs="Calibri" w:eastAsia="Calibri" w:hAnsi="Calibri"/>
          <w:color w:val="16324F"/>
          <w:sz w:val="24"/>
          <w:szCs w:val="24"/>
        </w:rPr>
        <w:t xml:space="preserve">Conclusion — fil rouge et engagement</w:t>
      </w:r>
    </w:p>
    <w:p>
      <w:r>
        <w:br w:type="page"/>
      </w:r>
    </w:p>
    <w:p>
      <w:pPr>
        <w:pStyle w:val="Heading1"/>
      </w:pPr>
      <w:r>
        <w:rPr>
          <w:rFonts w:ascii="Calibri" w:cs="Calibri" w:eastAsia="Calibri" w:hAnsi="Calibri"/>
        </w:rPr>
        <w:t xml:space="preserve">Synthèse de l’auto-évaluation</w:t>
      </w:r>
    </w:p>
    <w:p>
      <w:pPr>
        <w:spacing w:after="160" w:before="0" w:line="256"/>
        <w:jc w:val="both"/>
      </w:pPr>
      <w:r>
        <w:rPr>
          <w:rFonts w:ascii="Calibri" w:cs="Calibri" w:eastAsia="Calibri" w:hAnsi="Calibri"/>
          <w:b w:val="false"/>
          <w:bCs w:val="false"/>
          <w:color w:val="1F2A33"/>
          <w:sz w:val="22"/>
          <w:szCs w:val="22"/>
        </w:rPr>
        <w:t xml:space="preserve">Cette auto-évaluation s’appuie sur la grille de fin de formation FAD130 et ses trois critères de positionnement — relation d’accompagnement (7 pts), mise en œuvre (7 pts) et positionnement professionnel (6 pts), soit 20 points. Pour chacun, je réponds aux « questions à se poser » de la grille en mobilisant le cours et ma situation d’accompagnement réelle : des étudiants de master en alternance que j’accompagne, à travers leur mémoire de fin d’études, vers le monde professionnel. La note que je propose — 16 / 20 — assume une maîtrise réelle sans complaisance, et des axes de progrès que je nomme parce qu’en rendre compte fait partie de la posture attendue.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3726"/>
      </w:tblGrid>
      <w:tr>
        <w:trPr>
          <w:tblHeader/>
        </w:trPr>
        <w:tc>
          <w:tcPr>
            <w:tcW w:type="dxa" w:w="3500"/>
            <w:tcBorders>
              <w:top w:val="single" w:color="E3DCCD" w:sz="2" w:space="1"/>
              <w:left w:val="single" w:color="E3DCCD" w:sz="2" w:space="1"/>
              <w:bottom w:val="single" w:color="E3DCCD" w:sz="2" w:space="1"/>
              <w:right w:val="single" w:color="E3DCCD" w:sz="2" w:space="1"/>
            </w:tcBorders>
            <w:shd w:fill="16324F" w:val="clear"/>
            <w:tcMar>
              <w:top w:type="dxa" w:w="90"/>
              <w:left w:type="dxa" w:w="140"/>
              <w:bottom w:type="dxa" w:w="90"/>
              <w:right w:type="dxa" w:w="140"/>
            </w:tcMar>
            <w:vAlign w:val="center"/>
          </w:tcPr>
          <w:p>
            <w:r>
              <w:rPr>
                <w:rFonts w:ascii="Calibri" w:cs="Calibri" w:eastAsia="Calibri" w:hAnsi="Calibri"/>
                <w:b/>
                <w:bCs/>
                <w:color w:val="FFFFFF"/>
                <w:sz w:val="21"/>
                <w:szCs w:val="21"/>
              </w:rPr>
              <w:t xml:space="preserve">Critère</w:t>
            </w:r>
          </w:p>
        </w:tc>
        <w:tc>
          <w:tcPr>
            <w:tcW w:type="dxa" w:w="900"/>
            <w:tcBorders>
              <w:top w:val="single" w:color="E3DCCD" w:sz="2" w:space="1"/>
              <w:left w:val="single" w:color="E3DCCD" w:sz="2" w:space="1"/>
              <w:bottom w:val="single" w:color="E3DCCD" w:sz="2" w:space="1"/>
              <w:right w:val="single" w:color="E3DCCD" w:sz="2" w:space="1"/>
            </w:tcBorders>
            <w:shd w:fill="16324F" w:val="clear"/>
            <w:tcMar>
              <w:top w:type="dxa" w:w="90"/>
              <w:left w:type="dxa" w:w="140"/>
              <w:bottom w:type="dxa" w:w="90"/>
              <w:right w:type="dxa" w:w="140"/>
            </w:tcMar>
            <w:vAlign w:val="center"/>
          </w:tcPr>
          <w:p>
            <w:pPr>
              <w:jc w:val="center"/>
            </w:pPr>
            <w:r>
              <w:rPr>
                <w:rFonts w:ascii="Calibri" w:cs="Calibri" w:eastAsia="Calibri" w:hAnsi="Calibri"/>
                <w:b/>
                <w:bCs/>
                <w:color w:val="FFFFFF"/>
                <w:sz w:val="21"/>
                <w:szCs w:val="21"/>
              </w:rPr>
              <w:t xml:space="preserve">Barème</w:t>
            </w:r>
          </w:p>
        </w:tc>
        <w:tc>
          <w:tcPr>
            <w:tcW w:type="dxa" w:w="900"/>
            <w:tcBorders>
              <w:top w:val="single" w:color="E3DCCD" w:sz="2" w:space="1"/>
              <w:left w:val="single" w:color="E3DCCD" w:sz="2" w:space="1"/>
              <w:bottom w:val="single" w:color="E3DCCD" w:sz="2" w:space="1"/>
              <w:right w:val="single" w:color="E3DCCD" w:sz="2" w:space="1"/>
            </w:tcBorders>
            <w:shd w:fill="16324F" w:val="clear"/>
            <w:tcMar>
              <w:top w:type="dxa" w:w="90"/>
              <w:left w:type="dxa" w:w="140"/>
              <w:bottom w:type="dxa" w:w="90"/>
              <w:right w:type="dxa" w:w="140"/>
            </w:tcMar>
            <w:vAlign w:val="center"/>
          </w:tcPr>
          <w:p>
            <w:pPr>
              <w:jc w:val="center"/>
            </w:pPr>
            <w:r>
              <w:rPr>
                <w:rFonts w:ascii="Calibri" w:cs="Calibri" w:eastAsia="Calibri" w:hAnsi="Calibri"/>
                <w:b/>
                <w:bCs/>
                <w:color w:val="FFFFFF"/>
                <w:sz w:val="21"/>
                <w:szCs w:val="21"/>
              </w:rPr>
              <w:t xml:space="preserve">Note</w:t>
            </w:r>
          </w:p>
        </w:tc>
        <w:tc>
          <w:tcPr>
            <w:tcW w:type="dxa" w:w="3726"/>
            <w:tcBorders>
              <w:top w:val="single" w:color="E3DCCD" w:sz="2" w:space="1"/>
              <w:left w:val="single" w:color="E3DCCD" w:sz="2" w:space="1"/>
              <w:bottom w:val="single" w:color="E3DCCD" w:sz="2" w:space="1"/>
              <w:right w:val="single" w:color="E3DCCD" w:sz="2" w:space="1"/>
            </w:tcBorders>
            <w:shd w:fill="16324F" w:val="clear"/>
            <w:tcMar>
              <w:top w:type="dxa" w:w="90"/>
              <w:left w:type="dxa" w:w="140"/>
              <w:bottom w:type="dxa" w:w="90"/>
              <w:right w:type="dxa" w:w="140"/>
            </w:tcMar>
            <w:vAlign w:val="center"/>
          </w:tcPr>
          <w:p>
            <w:r>
              <w:rPr>
                <w:rFonts w:ascii="Calibri" w:cs="Calibri" w:eastAsia="Calibri" w:hAnsi="Calibri"/>
                <w:b/>
                <w:bCs/>
                <w:color w:val="FFFFFF"/>
                <w:sz w:val="21"/>
                <w:szCs w:val="21"/>
              </w:rPr>
              <w:t xml:space="preserve">Résumé de la justification</w:t>
            </w:r>
          </w:p>
        </w:tc>
      </w:tr>
      <w:tr>
        <w:tc>
          <w:tcPr>
            <w:tcW w:type="dxa" w:w="3500"/>
            <w:tcBorders>
              <w:top w:val="single" w:color="E3DCCD" w:sz="2" w:space="1"/>
              <w:left w:val="single" w:color="E3DCCD" w:sz="2" w:space="1"/>
              <w:bottom w:val="single" w:color="E3DCCD" w:sz="2" w:space="1"/>
              <w:right w:val="single" w:color="E3DCCD" w:sz="2" w:space="1"/>
            </w:tcBorders>
            <w:shd w:fill="FFFFFF" w:val="clear"/>
            <w:tcMar>
              <w:top w:type="dxa" w:w="90"/>
              <w:left w:type="dxa" w:w="140"/>
              <w:bottom w:type="dxa" w:w="90"/>
              <w:right w:type="dxa" w:w="140"/>
            </w:tcMar>
            <w:vAlign w:val="center"/>
          </w:tcPr>
          <w:p>
            <w:r>
              <w:rPr>
                <w:rFonts w:ascii="Calibri" w:cs="Calibri" w:eastAsia="Calibri" w:hAnsi="Calibri"/>
                <w:b/>
                <w:bCs/>
                <w:color w:val="16324F"/>
                <w:sz w:val="21"/>
                <w:szCs w:val="21"/>
              </w:rPr>
              <w:t xml:space="preserve">1. Positionnement dans la relation d'accompagnement</w:t>
            </w:r>
          </w:p>
        </w:tc>
        <w:tc>
          <w:tcPr>
            <w:tcW w:type="dxa" w:w="900"/>
            <w:tcBorders>
              <w:top w:val="single" w:color="E3DCCD" w:sz="2" w:space="1"/>
              <w:left w:val="single" w:color="E3DCCD" w:sz="2" w:space="1"/>
              <w:bottom w:val="single" w:color="E3DCCD" w:sz="2" w:space="1"/>
              <w:right w:val="single" w:color="E3DCCD" w:sz="2" w:space="1"/>
            </w:tcBorders>
            <w:shd w:fill="FFFFFF" w:val="clear"/>
            <w:tcMar>
              <w:top w:type="dxa" w:w="90"/>
              <w:left w:type="dxa" w:w="140"/>
              <w:bottom w:type="dxa" w:w="90"/>
              <w:right w:type="dxa" w:w="140"/>
            </w:tcMar>
            <w:vAlign w:val="center"/>
          </w:tcPr>
          <w:p>
            <w:pPr>
              <w:jc w:val="center"/>
            </w:pPr>
            <w:r>
              <w:rPr>
                <w:rFonts w:ascii="Calibri" w:cs="Calibri" w:eastAsia="Calibri" w:hAnsi="Calibri"/>
                <w:color w:val="4C5A64"/>
                <w:sz w:val="21"/>
                <w:szCs w:val="21"/>
              </w:rPr>
              <w:t xml:space="preserve">/ 7</w:t>
            </w:r>
          </w:p>
        </w:tc>
        <w:tc>
          <w:tcPr>
            <w:tcW w:type="dxa" w:w="900"/>
            <w:tcBorders>
              <w:top w:val="single" w:color="E3DCCD" w:sz="2" w:space="1"/>
              <w:left w:val="single" w:color="E3DCCD" w:sz="2" w:space="1"/>
              <w:bottom w:val="single" w:color="E3DCCD" w:sz="2" w:space="1"/>
              <w:right w:val="single" w:color="E3DCCD" w:sz="2" w:space="1"/>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4A6C54"/>
                <w:sz w:val="26"/>
                <w:szCs w:val="26"/>
              </w:rPr>
              <w:t xml:space="preserve">5,5</w:t>
            </w:r>
          </w:p>
        </w:tc>
        <w:tc>
          <w:tcPr>
            <w:tcW w:type="dxa" w:w="3726"/>
            <w:tcBorders>
              <w:top w:val="single" w:color="E3DCCD" w:sz="2" w:space="1"/>
              <w:left w:val="single" w:color="E3DCCD" w:sz="2" w:space="1"/>
              <w:bottom w:val="single" w:color="E3DCCD" w:sz="2" w:space="1"/>
              <w:right w:val="single" w:color="E3DCCD" w:sz="2" w:space="1"/>
            </w:tcBorders>
            <w:shd w:fill="FFFFFF" w:val="clear"/>
            <w:tcMar>
              <w:top w:type="dxa" w:w="90"/>
              <w:left w:type="dxa" w:w="140"/>
              <w:bottom w:type="dxa" w:w="90"/>
              <w:right w:type="dxa" w:w="140"/>
            </w:tcMar>
            <w:vAlign w:val="center"/>
          </w:tcPr>
          <w:p>
            <w:pPr>
              <w:spacing w:line="256"/>
              <w:jc w:val="both"/>
            </w:pPr>
            <w:r>
              <w:rPr>
                <w:rFonts w:ascii="Calibri" w:cs="Calibri" w:eastAsia="Calibri" w:hAnsi="Calibri"/>
                <w:color w:val="1F2A33"/>
                <w:sz w:val="20"/>
                <w:szCs w:val="20"/>
              </w:rPr>
              <w:t xml:space="preserve">Relation « avec » et non « sur » (Maela Paul, Rogers) : juste distance, non-jugement, étudiant reconnu comme auteur. Axe : accueillir l’émotionnel et réévaluer ma place dans le temps.</w:t>
            </w:r>
          </w:p>
        </w:tc>
      </w:tr>
      <w:tr>
        <w:tc>
          <w:tcPr>
            <w:tcW w:type="dxa" w:w="3500"/>
            <w:tcBorders>
              <w:top w:val="single" w:color="E3DCCD" w:sz="2" w:space="1"/>
              <w:left w:val="single" w:color="E3DCCD" w:sz="2" w:space="1"/>
              <w:bottom w:val="single" w:color="E3DCCD" w:sz="2" w:space="1"/>
              <w:right w:val="single" w:color="E3DCCD" w:sz="2" w:space="1"/>
            </w:tcBorders>
            <w:shd w:fill="FAF6EE" w:val="clear"/>
            <w:tcMar>
              <w:top w:type="dxa" w:w="90"/>
              <w:left w:type="dxa" w:w="140"/>
              <w:bottom w:type="dxa" w:w="90"/>
              <w:right w:type="dxa" w:w="140"/>
            </w:tcMar>
            <w:vAlign w:val="center"/>
          </w:tcPr>
          <w:p>
            <w:r>
              <w:rPr>
                <w:rFonts w:ascii="Calibri" w:cs="Calibri" w:eastAsia="Calibri" w:hAnsi="Calibri"/>
                <w:b/>
                <w:bCs/>
                <w:color w:val="16324F"/>
                <w:sz w:val="21"/>
                <w:szCs w:val="21"/>
              </w:rPr>
              <w:t xml:space="preserve">2. Positionnement dans la mise en œuvre de l'accompagnement</w:t>
            </w:r>
          </w:p>
        </w:tc>
        <w:tc>
          <w:tcPr>
            <w:tcW w:type="dxa" w:w="900"/>
            <w:tcBorders>
              <w:top w:val="single" w:color="E3DCCD" w:sz="2" w:space="1"/>
              <w:left w:val="single" w:color="E3DCCD" w:sz="2" w:space="1"/>
              <w:bottom w:val="single" w:color="E3DCCD" w:sz="2" w:space="1"/>
              <w:right w:val="single" w:color="E3DCCD" w:sz="2" w:space="1"/>
            </w:tcBorders>
            <w:shd w:fill="FAF6EE" w:val="clear"/>
            <w:tcMar>
              <w:top w:type="dxa" w:w="90"/>
              <w:left w:type="dxa" w:w="140"/>
              <w:bottom w:type="dxa" w:w="90"/>
              <w:right w:type="dxa" w:w="140"/>
            </w:tcMar>
            <w:vAlign w:val="center"/>
          </w:tcPr>
          <w:p>
            <w:pPr>
              <w:jc w:val="center"/>
            </w:pPr>
            <w:r>
              <w:rPr>
                <w:rFonts w:ascii="Calibri" w:cs="Calibri" w:eastAsia="Calibri" w:hAnsi="Calibri"/>
                <w:color w:val="4C5A64"/>
                <w:sz w:val="21"/>
                <w:szCs w:val="21"/>
              </w:rPr>
              <w:t xml:space="preserve">/ 7</w:t>
            </w:r>
          </w:p>
        </w:tc>
        <w:tc>
          <w:tcPr>
            <w:tcW w:type="dxa" w:w="900"/>
            <w:tcBorders>
              <w:top w:val="single" w:color="E3DCCD" w:sz="2" w:space="1"/>
              <w:left w:val="single" w:color="E3DCCD" w:sz="2" w:space="1"/>
              <w:bottom w:val="single" w:color="E3DCCD" w:sz="2" w:space="1"/>
              <w:right w:val="single" w:color="E3DCCD" w:sz="2" w:space="1"/>
            </w:tcBorders>
            <w:shd w:fill="FAF6EE" w:val="clear"/>
            <w:tcMar>
              <w:top w:type="dxa" w:w="90"/>
              <w:left w:type="dxa" w:w="140"/>
              <w:bottom w:type="dxa" w:w="90"/>
              <w:right w:type="dxa" w:w="140"/>
            </w:tcMar>
            <w:vAlign w:val="center"/>
          </w:tcPr>
          <w:p>
            <w:pPr>
              <w:jc w:val="center"/>
            </w:pPr>
            <w:r>
              <w:rPr>
                <w:rFonts w:ascii="Calibri" w:cs="Calibri" w:eastAsia="Calibri" w:hAnsi="Calibri"/>
                <w:b/>
                <w:bCs/>
                <w:color w:val="4A6C54"/>
                <w:sz w:val="26"/>
                <w:szCs w:val="26"/>
              </w:rPr>
              <w:t xml:space="preserve">5,5</w:t>
            </w:r>
          </w:p>
        </w:tc>
        <w:tc>
          <w:tcPr>
            <w:tcW w:type="dxa" w:w="3726"/>
            <w:tcBorders>
              <w:top w:val="single" w:color="E3DCCD" w:sz="2" w:space="1"/>
              <w:left w:val="single" w:color="E3DCCD" w:sz="2" w:space="1"/>
              <w:bottom w:val="single" w:color="E3DCCD" w:sz="2" w:space="1"/>
              <w:right w:val="single" w:color="E3DCCD" w:sz="2" w:space="1"/>
            </w:tcBorders>
            <w:shd w:fill="FAF6EE" w:val="clear"/>
            <w:tcMar>
              <w:top w:type="dxa" w:w="90"/>
              <w:left w:type="dxa" w:w="140"/>
              <w:bottom w:type="dxa" w:w="90"/>
              <w:right w:type="dxa" w:w="140"/>
            </w:tcMar>
            <w:vAlign w:val="center"/>
          </w:tcPr>
          <w:p>
            <w:pPr>
              <w:spacing w:line="256"/>
              <w:jc w:val="both"/>
            </w:pPr>
            <w:r>
              <w:rPr>
                <w:rFonts w:ascii="Calibri" w:cs="Calibri" w:eastAsia="Calibri" w:hAnsi="Calibri"/>
                <w:color w:val="1F2A33"/>
                <w:sz w:val="20"/>
                <w:szCs w:val="20"/>
              </w:rPr>
              <w:t xml:space="preserve">Mon point fort : cadre, méthode en six phases et application Boussole, chaque choix justifié (Porter, Le Boterf, Bandura). Axe : faire émerger plutôt que donner, et assumer l’intuitif.</w:t>
            </w:r>
          </w:p>
        </w:tc>
      </w:tr>
      <w:tr>
        <w:tc>
          <w:tcPr>
            <w:tcW w:type="dxa" w:w="3500"/>
            <w:tcBorders>
              <w:top w:val="single" w:color="E3DCCD" w:sz="2" w:space="1"/>
              <w:left w:val="single" w:color="E3DCCD" w:sz="2" w:space="1"/>
              <w:bottom w:val="single" w:color="E3DCCD" w:sz="2" w:space="1"/>
              <w:right w:val="single" w:color="E3DCCD" w:sz="2" w:space="1"/>
            </w:tcBorders>
            <w:shd w:fill="FFFFFF" w:val="clear"/>
            <w:tcMar>
              <w:top w:type="dxa" w:w="90"/>
              <w:left w:type="dxa" w:w="140"/>
              <w:bottom w:type="dxa" w:w="90"/>
              <w:right w:type="dxa" w:w="140"/>
            </w:tcMar>
            <w:vAlign w:val="center"/>
          </w:tcPr>
          <w:p>
            <w:r>
              <w:rPr>
                <w:rFonts w:ascii="Calibri" w:cs="Calibri" w:eastAsia="Calibri" w:hAnsi="Calibri"/>
                <w:b/>
                <w:bCs/>
                <w:color w:val="16324F"/>
                <w:sz w:val="21"/>
                <w:szCs w:val="21"/>
              </w:rPr>
              <w:t xml:space="preserve">3. Positionnement professionnel</w:t>
            </w:r>
          </w:p>
        </w:tc>
        <w:tc>
          <w:tcPr>
            <w:tcW w:type="dxa" w:w="900"/>
            <w:tcBorders>
              <w:top w:val="single" w:color="E3DCCD" w:sz="2" w:space="1"/>
              <w:left w:val="single" w:color="E3DCCD" w:sz="2" w:space="1"/>
              <w:bottom w:val="single" w:color="E3DCCD" w:sz="2" w:space="1"/>
              <w:right w:val="single" w:color="E3DCCD" w:sz="2" w:space="1"/>
            </w:tcBorders>
            <w:shd w:fill="FFFFFF" w:val="clear"/>
            <w:tcMar>
              <w:top w:type="dxa" w:w="90"/>
              <w:left w:type="dxa" w:w="140"/>
              <w:bottom w:type="dxa" w:w="90"/>
              <w:right w:type="dxa" w:w="140"/>
            </w:tcMar>
            <w:vAlign w:val="center"/>
          </w:tcPr>
          <w:p>
            <w:pPr>
              <w:jc w:val="center"/>
            </w:pPr>
            <w:r>
              <w:rPr>
                <w:rFonts w:ascii="Calibri" w:cs="Calibri" w:eastAsia="Calibri" w:hAnsi="Calibri"/>
                <w:color w:val="4C5A64"/>
                <w:sz w:val="21"/>
                <w:szCs w:val="21"/>
              </w:rPr>
              <w:t xml:space="preserve">/ 6</w:t>
            </w:r>
          </w:p>
        </w:tc>
        <w:tc>
          <w:tcPr>
            <w:tcW w:type="dxa" w:w="900"/>
            <w:tcBorders>
              <w:top w:val="single" w:color="E3DCCD" w:sz="2" w:space="1"/>
              <w:left w:val="single" w:color="E3DCCD" w:sz="2" w:space="1"/>
              <w:bottom w:val="single" w:color="E3DCCD" w:sz="2" w:space="1"/>
              <w:right w:val="single" w:color="E3DCCD" w:sz="2" w:space="1"/>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4A6C54"/>
                <w:sz w:val="26"/>
                <w:szCs w:val="26"/>
              </w:rPr>
              <w:t xml:space="preserve">5</w:t>
            </w:r>
          </w:p>
        </w:tc>
        <w:tc>
          <w:tcPr>
            <w:tcW w:type="dxa" w:w="3726"/>
            <w:tcBorders>
              <w:top w:val="single" w:color="E3DCCD" w:sz="2" w:space="1"/>
              <w:left w:val="single" w:color="E3DCCD" w:sz="2" w:space="1"/>
              <w:bottom w:val="single" w:color="E3DCCD" w:sz="2" w:space="1"/>
              <w:right w:val="single" w:color="E3DCCD" w:sz="2" w:space="1"/>
            </w:tcBorders>
            <w:shd w:fill="FFFFFF" w:val="clear"/>
            <w:tcMar>
              <w:top w:type="dxa" w:w="90"/>
              <w:left w:type="dxa" w:w="140"/>
              <w:bottom w:type="dxa" w:w="90"/>
              <w:right w:type="dxa" w:w="140"/>
            </w:tcMar>
            <w:vAlign w:val="center"/>
          </w:tcPr>
          <w:p>
            <w:pPr>
              <w:spacing w:line="256"/>
              <w:jc w:val="both"/>
            </w:pPr>
            <w:r>
              <w:rPr>
                <w:rFonts w:ascii="Calibri" w:cs="Calibri" w:eastAsia="Calibri" w:hAnsi="Calibri"/>
                <w:color w:val="1F2A33"/>
                <w:sz w:val="20"/>
                <w:szCs w:val="20"/>
              </w:rPr>
              <w:t xml:space="preserve">Réflexivité et conviction assumées ; analyse critique de la fonction et de l’injonction à l’autonomie (Deci &amp; Ryan), sens social revendiqué. Axe : détachement du résultat et analyse prospective.</w:t>
            </w:r>
          </w:p>
        </w:tc>
      </w:tr>
      <w:tr>
        <w:tc>
          <w:tcPr>
            <w:tcW w:type="dxa" w:w="3500"/>
            <w:tcBorders>
              <w:top w:val="single" w:color="E3DCCD" w:sz="2" w:space="1"/>
              <w:left w:val="single" w:color="E3DCCD" w:sz="2" w:space="1"/>
              <w:bottom w:val="single" w:color="E3DCCD" w:sz="2" w:space="1"/>
              <w:right w:val="single" w:color="E3DCCD" w:sz="2" w:space="1"/>
            </w:tcBorders>
            <w:shd w:fill="E7EEE8" w:val="clear"/>
            <w:tcMar>
              <w:top w:type="dxa" w:w="90"/>
              <w:left w:type="dxa" w:w="140"/>
              <w:bottom w:type="dxa" w:w="90"/>
              <w:right w:type="dxa" w:w="140"/>
            </w:tcMar>
            <w:vAlign w:val="center"/>
          </w:tcPr>
          <w:p>
            <w:r>
              <w:rPr>
                <w:rFonts w:ascii="Calibri" w:cs="Calibri" w:eastAsia="Calibri" w:hAnsi="Calibri"/>
                <w:b/>
                <w:bCs/>
                <w:color w:val="16324F"/>
                <w:sz w:val="22"/>
                <w:szCs w:val="22"/>
              </w:rPr>
              <w:t xml:space="preserve">Note globale</w:t>
            </w:r>
          </w:p>
        </w:tc>
        <w:tc>
          <w:tcPr>
            <w:tcW w:type="dxa" w:w="900"/>
            <w:tcBorders>
              <w:top w:val="single" w:color="E3DCCD" w:sz="2" w:space="1"/>
              <w:left w:val="single" w:color="E3DCCD" w:sz="2" w:space="1"/>
              <w:bottom w:val="single" w:color="E3DCCD" w:sz="2" w:space="1"/>
              <w:right w:val="single" w:color="E3DCCD" w:sz="2" w:space="1"/>
            </w:tcBorders>
            <w:shd w:fill="E7EEE8" w:val="clear"/>
            <w:tcMar>
              <w:top w:type="dxa" w:w="90"/>
              <w:left w:type="dxa" w:w="140"/>
              <w:bottom w:type="dxa" w:w="90"/>
              <w:right w:type="dxa" w:w="140"/>
            </w:tcMar>
            <w:vAlign w:val="center"/>
          </w:tcPr>
          <w:p>
            <w:pPr>
              <w:jc w:val="center"/>
            </w:pPr>
            <w:r>
              <w:rPr>
                <w:rFonts w:ascii="Calibri" w:cs="Calibri" w:eastAsia="Calibri" w:hAnsi="Calibri"/>
                <w:b/>
                <w:bCs/>
                <w:color w:val="16324F"/>
                <w:sz w:val="22"/>
                <w:szCs w:val="22"/>
              </w:rPr>
              <w:t xml:space="preserve">/ 20</w:t>
            </w:r>
          </w:p>
        </w:tc>
        <w:tc>
          <w:tcPr>
            <w:tcW w:type="dxa" w:w="900"/>
            <w:tcBorders>
              <w:top w:val="single" w:color="E3DCCD" w:sz="2" w:space="1"/>
              <w:left w:val="single" w:color="E3DCCD" w:sz="2" w:space="1"/>
              <w:bottom w:val="single" w:color="E3DCCD" w:sz="2" w:space="1"/>
              <w:right w:val="single" w:color="E3DCCD" w:sz="2" w:space="1"/>
            </w:tcBorders>
            <w:shd w:fill="E7EEE8" w:val="clear"/>
            <w:tcMar>
              <w:top w:type="dxa" w:w="90"/>
              <w:left w:type="dxa" w:w="140"/>
              <w:bottom w:type="dxa" w:w="90"/>
              <w:right w:type="dxa" w:w="140"/>
            </w:tcMar>
            <w:vAlign w:val="center"/>
          </w:tcPr>
          <w:p>
            <w:pPr>
              <w:jc w:val="center"/>
            </w:pPr>
            <w:r>
              <w:rPr>
                <w:rFonts w:ascii="Calibri" w:cs="Calibri" w:eastAsia="Calibri" w:hAnsi="Calibri"/>
                <w:b/>
                <w:bCs/>
                <w:color w:val="16324F"/>
                <w:sz w:val="30"/>
                <w:szCs w:val="30"/>
              </w:rPr>
              <w:t xml:space="preserve">16</w:t>
            </w:r>
          </w:p>
        </w:tc>
        <w:tc>
          <w:tcPr>
            <w:tcW w:type="dxa" w:w="3726"/>
            <w:tcBorders>
              <w:top w:val="single" w:color="E3DCCD" w:sz="2" w:space="1"/>
              <w:left w:val="single" w:color="E3DCCD" w:sz="2" w:space="1"/>
              <w:bottom w:val="single" w:color="E3DCCD" w:sz="2" w:space="1"/>
              <w:right w:val="single" w:color="E3DCCD" w:sz="2" w:space="1"/>
            </w:tcBorders>
            <w:shd w:fill="E7EEE8" w:val="clear"/>
            <w:tcMar>
              <w:top w:type="dxa" w:w="90"/>
              <w:left w:type="dxa" w:w="140"/>
              <w:bottom w:type="dxa" w:w="90"/>
              <w:right w:type="dxa" w:w="140"/>
            </w:tcMar>
            <w:vAlign w:val="center"/>
          </w:tcPr>
          <w:p>
            <w:pPr>
              <w:spacing w:line="256"/>
              <w:jc w:val="both"/>
            </w:pPr>
            <w:r>
              <w:rPr>
                <w:rFonts w:ascii="Calibri" w:cs="Calibri" w:eastAsia="Calibri" w:hAnsi="Calibri"/>
                <w:b/>
                <w:bCs/>
                <w:color w:val="16324F"/>
                <w:sz w:val="20"/>
                <w:szCs w:val="20"/>
              </w:rPr>
              <w:t xml:space="preserve">Une production complète et cohérente — grille, oral, méthode et application — ancrée dans une situation réelle et lucide sur ses marges de progrès.</w:t>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EFE4" w:sz="2" w:space="1"/>
              <w:left w:val="single" w:color="7C9A85" w:sz="20" w:space="1"/>
              <w:bottom w:val="single" w:color="F5EFE4" w:sz="2" w:space="1"/>
              <w:right w:val="single" w:color="F5EFE4" w:sz="2" w:space="1"/>
            </w:tcBorders>
            <w:shd w:fill="F5EFE4" w:val="clear"/>
            <w:tcMar>
              <w:top w:type="dxa" w:w="120"/>
              <w:left w:type="dxa" w:w="220"/>
              <w:bottom w:type="dxa" w:w="120"/>
              <w:right w:type="dxa" w:w="200"/>
            </w:tcMar>
          </w:tcPr>
          <w:p>
            <w:pPr>
              <w:spacing w:line="268"/>
              <w:jc w:val="both"/>
            </w:pPr>
            <w:r>
              <w:rPr>
                <w:rFonts w:ascii="Calibri" w:cs="Calibri" w:eastAsia="Calibri" w:hAnsi="Calibri"/>
                <w:color w:val="1F2A33"/>
                <w:sz w:val="20"/>
                <w:szCs w:val="20"/>
              </w:rPr>
              <w:t xml:space="preserve">Décomposition : 5,5 + 5,5 + 5 = 16 / 20, soit un positionnement « maîtrisé » sur les trois critères. Cette note n’est pas une fin : elle situe un praticien qui tient son cadre et sait pourquoi, et dont les prochains pas — accueillir davantage l’émotionnel, faire émerger plutôt que donner, se détacher du résultat — sont déjà identifiés et engagés.</w:t>
            </w:r>
          </w:p>
        </w:tc>
      </w:tr>
    </w:tbl>
    <w:p>
      <w:r>
        <w:br w:type="page"/>
      </w:r>
    </w:p>
    <w:p>
      <w:pPr>
        <w:pStyle w:val="Heading1"/>
      </w:pPr>
      <w:r>
        <w:rPr>
          <w:rFonts w:ascii="Calibri" w:cs="Calibri" w:eastAsia="Calibri" w:hAnsi="Calibri"/>
        </w:rPr>
        <w:t xml:space="preserve">Critère 1 — Positionnement dans la relation d'accompagnement</w:t>
      </w:r>
    </w:p>
    <w:p>
      <w:pPr>
        <w:spacing w:after="160"/>
      </w:pPr>
      <w:r>
        <w:rPr>
          <w:rFonts w:ascii="Calibri" w:cs="Calibri" w:eastAsia="Calibri" w:hAnsi="Calibri"/>
          <w:b/>
          <w:bCs/>
          <w:caps/>
          <w:color w:val="4A6C54"/>
          <w:spacing w:val="20"/>
          <w:sz w:val="20"/>
          <w:szCs w:val="20"/>
        </w:rPr>
        <w:t xml:space="preserve">Barème : 7 points</w:t>
      </w:r>
      <w:r>
        <w:rPr>
          <w:rFonts w:ascii="Calibri" w:cs="Calibri" w:eastAsia="Calibri" w:hAnsi="Calibri"/>
          <w:color w:val="4C5A64"/>
          <w:sz w:val="20"/>
          <w:szCs w:val="20"/>
        </w:rPr>
        <w:t xml:space="preserve">      Note proposée : </w:t>
      </w:r>
      <w:r>
        <w:rPr>
          <w:rFonts w:ascii="Calibri" w:cs="Calibri" w:eastAsia="Calibri" w:hAnsi="Calibri"/>
          <w:b/>
          <w:bCs/>
          <w:color w:val="16324F"/>
          <w:sz w:val="24"/>
          <w:szCs w:val="24"/>
        </w:rPr>
        <w:t xml:space="preserve">5,5 /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EEE8" w:sz="2" w:space="1"/>
              <w:left w:val="single" w:color="7C9A85" w:sz="20" w:space="1"/>
              <w:bottom w:val="single" w:color="E7EEE8" w:sz="2" w:space="1"/>
              <w:right w:val="single" w:color="E7EEE8" w:sz="2" w:space="1"/>
            </w:tcBorders>
            <w:shd w:fill="E7EEE8" w:val="clear"/>
            <w:tcMar>
              <w:top w:type="dxa" w:w="120"/>
              <w:left w:type="dxa" w:w="220"/>
              <w:bottom w:type="dxa" w:w="120"/>
              <w:right w:type="dxa" w:w="200"/>
            </w:tcMar>
          </w:tcPr>
          <w:p>
            <w:pPr>
              <w:spacing w:line="268"/>
              <w:jc w:val="both"/>
            </w:pPr>
            <w:r>
              <w:rPr>
                <w:rFonts w:ascii="Calibri" w:cs="Calibri" w:eastAsia="Calibri" w:hAnsi="Calibri"/>
                <w:b/>
                <w:bCs/>
                <w:color w:val="16324F"/>
                <w:sz w:val="21"/>
                <w:szCs w:val="21"/>
              </w:rPr>
              <w:t xml:space="preserve">Ce que la grille invite à interroger — </w:t>
            </w:r>
            <w:r>
              <w:rPr>
                <w:rFonts w:ascii="Calibri" w:cs="Calibri" w:eastAsia="Calibri" w:hAnsi="Calibri"/>
                <w:i/>
                <w:iCs/>
                <w:color w:val="1F2A33"/>
                <w:sz w:val="21"/>
                <w:szCs w:val="21"/>
              </w:rPr>
              <w:t xml:space="preserve">Comment je perçois la place de l’accompagné et favorise son autonomie tout en investissant une relation réelle ? Comment je perçois ma propre place, ce que j’y investis du fait de mon histoire et de mes croyances, et quelle vigilance — quelle réévaluation dans le temps — j’accorde à ce positionnement ?</w:t>
            </w:r>
          </w:p>
        </w:tc>
      </w:tr>
    </w:tbl>
    <w:p>
      <w:pPr>
        <w:pBdr>
          <w:left w:val="single" w:color="7C9A85" w:sz="18" w:space="1"/>
        </w:pBdr>
        <w:spacing w:after="160" w:line="276"/>
        <w:ind w:left="220"/>
      </w:pPr>
      <w:r>
        <w:rPr>
          <w:rFonts w:ascii="Calibri" w:cs="Calibri" w:eastAsia="Calibri" w:hAnsi="Calibri"/>
          <w:i/>
          <w:iCs/>
          <w:color w:val="16324F"/>
          <w:sz w:val="24"/>
          <w:szCs w:val="24"/>
        </w:rPr>
        <w:t xml:space="preserve">Accompagner, pour moi, c'est cheminer « avec » et non agir « sur » : faire de l'étudiant l'auteur de son parcours, et de ma place une présence ajustée plutôt qu'une autorité d'expert.</w:t>
      </w:r>
    </w:p>
    <w:p>
      <w:pPr>
        <w:spacing w:after="108" w:before="0" w:line="256"/>
        <w:jc w:val="both"/>
      </w:pPr>
      <w:r>
        <w:rPr>
          <w:rFonts w:ascii="Calibri" w:cs="Calibri" w:eastAsia="Calibri" w:hAnsi="Calibri"/>
          <w:b w:val="false"/>
          <w:bCs w:val="false"/>
          <w:color w:val="1F2A33"/>
          <w:sz w:val="22"/>
          <w:szCs w:val="22"/>
        </w:rPr>
        <w:t xml:space="preserve"/>
      </w:r>
      <w:r>
        <w:rPr>
          <w:rFonts w:ascii="Calibri" w:cs="Calibri" w:eastAsia="Calibri" w:hAnsi="Calibri"/>
          <w:b/>
          <w:bCs/>
          <w:color w:val="1F2A33"/>
          <w:sz w:val="22"/>
          <w:szCs w:val="22"/>
        </w:rPr>
        <w:t xml:space="preserve">La place que je fais à l'accompagné.</w:t>
      </w:r>
      <w:r>
        <w:rPr>
          <w:rFonts w:ascii="Calibri" w:cs="Calibri" w:eastAsia="Calibri" w:hAnsi="Calibri"/>
          <w:b w:val="false"/>
          <w:bCs w:val="false"/>
          <w:color w:val="1F2A33"/>
          <w:sz w:val="22"/>
          <w:szCs w:val="22"/>
        </w:rPr>
        <w:t xml:space="preserve"> Je perçois la personne accompagnée d'abord comme un sujet capable, et non comme un manque à combler. Mes accompagnés sont des étudiants de master en alternance, souvent des profils techniques ou développeurs, engagés dans une transition exigeante du monde académique au monde professionnel, dont le mémoire de fin d'études est l'objet-support. Face à eux, je m'interdis de me poser en celui qui détient la bonne version de leur travail : je les reconnais comme auteurs de leur parcours. Cette posture est très directement celle de Maela Paul — une relation « avec » et non une intervention « sur », « se joindre à quelqu'un pour aller où il va, en même temps que lui ». Concrètement, je leur fournis un cadre, un kit pédagogique, un mini-site et une méthode, mais jamais le contenu de leur mémoire : l'agentivité reste la leur. Je me reconnais dans cette formule qui résume ma conviction : « l'important n'est pas ce que l'on fait de moi, mais ce que je fais de ce qu'on a fait de moi ».</w:t>
      </w:r>
    </w:p>
    <w:p>
      <w:pPr>
        <w:spacing w:after="108" w:before="0" w:line="256"/>
        <w:jc w:val="both"/>
      </w:pPr>
      <w:r>
        <w:rPr>
          <w:rFonts w:ascii="Calibri" w:cs="Calibri" w:eastAsia="Calibri" w:hAnsi="Calibri"/>
          <w:b w:val="false"/>
          <w:bCs w:val="false"/>
          <w:color w:val="1F2A33"/>
          <w:sz w:val="22"/>
          <w:szCs w:val="22"/>
        </w:rPr>
        <w:t xml:space="preserve"/>
      </w:r>
      <w:r>
        <w:rPr>
          <w:rFonts w:ascii="Calibri" w:cs="Calibri" w:eastAsia="Calibri" w:hAnsi="Calibri"/>
          <w:b/>
          <w:bCs/>
          <w:color w:val="1F2A33"/>
          <w:sz w:val="22"/>
          <w:szCs w:val="22"/>
        </w:rPr>
        <w:t xml:space="preserve">Faire place à l'autonomie sans renoncer au lien.</w:t>
      </w:r>
      <w:r>
        <w:rPr>
          <w:rFonts w:ascii="Calibri" w:cs="Calibri" w:eastAsia="Calibri" w:hAnsi="Calibri"/>
          <w:b w:val="false"/>
          <w:bCs w:val="false"/>
          <w:color w:val="1F2A33"/>
          <w:sz w:val="22"/>
          <w:szCs w:val="22"/>
        </w:rPr>
        <w:t xml:space="preserve"> La difficulté n'est pas de laisser l'autre libre, c'est de le faire tout en investissant une relation réelle — disponible, engagée, mais non fusionnelle. C'est ce que je nomme le « lien élastique » : je tiens une juste distance, présent quand l'étudiant en a besoin, en retrait quand il avance seul. Cette juste distance est servie par un non-jugement que je revendique sans réserve : « je critique un livrable, jamais une personne ». Je m'appuie ici sur Rogers — viser la croissance et non la dépendance, garantir un regard non jugeant qui sécurise — et sur Porter, dont je dose les attitudes d'écoute pour privilégier la reformulation plutôt que l'interprétation ou le conseil prématuré. C'est aussi ce que vise mon « réflexe consultant » nommé et tenu à distance : favoriser l'autonomie, c'est précisément résister à la tentation de donner la solution. Cette intention rejoint la théorie de l'autodétermination de Deci &amp; Ryan : nourrir les besoins d'autonomie, de compétence et d'appartenance plutôt que de les court-circuiter.</w:t>
      </w:r>
    </w:p>
    <w:p>
      <w:pPr>
        <w:spacing w:after="108" w:before="0" w:line="256"/>
        <w:jc w:val="both"/>
      </w:pPr>
      <w:r>
        <w:rPr>
          <w:rFonts w:ascii="Calibri" w:cs="Calibri" w:eastAsia="Calibri" w:hAnsi="Calibri"/>
          <w:b w:val="false"/>
          <w:bCs w:val="false"/>
          <w:color w:val="1F2A33"/>
          <w:sz w:val="22"/>
          <w:szCs w:val="22"/>
        </w:rPr>
        <w:t xml:space="preserve"/>
      </w:r>
      <w:r>
        <w:rPr>
          <w:rFonts w:ascii="Calibri" w:cs="Calibri" w:eastAsia="Calibri" w:hAnsi="Calibri"/>
          <w:b/>
          <w:bCs/>
          <w:color w:val="1F2A33"/>
          <w:sz w:val="22"/>
          <w:szCs w:val="22"/>
        </w:rPr>
        <w:t xml:space="preserve">Comment je perçois ma propre place, et ce que j'y investis.</w:t>
      </w:r>
      <w:r>
        <w:rPr>
          <w:rFonts w:ascii="Calibri" w:cs="Calibri" w:eastAsia="Calibri" w:hAnsi="Calibri"/>
          <w:b w:val="false"/>
          <w:bCs w:val="false"/>
          <w:color w:val="1F2A33"/>
          <w:sz w:val="22"/>
          <w:szCs w:val="22"/>
        </w:rPr>
        <w:t xml:space="preserve"> Je perçois ma place comme celle d'un facilitateur, et non d'un expert qui prouve. Ce déplacement n'est pas cosmétique : je l'ai explicitement travaillé en FAD108, en passant « d'une logique 'je prouve' à une logique 'je construis' », en intégrant qu'« accompagner, ce n'est pas bien expliquer, c'est construire un cadre qui rend l'autre plus autonome ». Mais je dois être lucide sur ce que mon histoire me fait investir dans la relation. J'ai grandi dans l'auto-école familiale, où j'ai vu mon père ajuster ses explications pour aider chaque élève à surmonter ses difficultés et gagner en confiance ; j'en ai tiré une conviction fondatrice — « la pédagogie n'est pas une approche unique, mais un art d'adaptation aux besoins de chacun » — et un fil rouge personnel : comprendre, structurer, transmettre. Cet héritage est une force (l'attention sincère à la singularité de chacun), mais mon parcours d'ingénieur et de consultant chef de projet y ajoute un revers que j'ai appris à nommer : le « réflexe consultant », cette pente à apporter la réponse, à structurer pour l'autre. Savoir d'où vient ce que je projette est, je crois, la première condition pour ne pas le faire peser sur l'accompagné.</w:t>
      </w:r>
    </w:p>
    <w:p>
      <w:pPr>
        <w:spacing w:after="108" w:before="0" w:line="256"/>
        <w:jc w:val="both"/>
      </w:pPr>
      <w:r>
        <w:rPr>
          <w:rFonts w:ascii="Calibri" w:cs="Calibri" w:eastAsia="Calibri" w:hAnsi="Calibri"/>
          <w:b w:val="false"/>
          <w:bCs w:val="false"/>
          <w:color w:val="1F2A33"/>
          <w:sz w:val="22"/>
          <w:szCs w:val="22"/>
        </w:rPr>
        <w:t xml:space="preserve"/>
      </w:r>
      <w:r>
        <w:rPr>
          <w:rFonts w:ascii="Calibri" w:cs="Calibri" w:eastAsia="Calibri" w:hAnsi="Calibri"/>
          <w:b/>
          <w:bCs/>
          <w:color w:val="1F2A33"/>
          <w:sz w:val="22"/>
          <w:szCs w:val="22"/>
        </w:rPr>
        <w:t xml:space="preserve">La vigilance que j'accorde à ce positionnement.</w:t>
      </w:r>
      <w:r>
        <w:rPr>
          <w:rFonts w:ascii="Calibri" w:cs="Calibri" w:eastAsia="Calibri" w:hAnsi="Calibri"/>
          <w:b w:val="false"/>
          <w:bCs w:val="false"/>
          <w:color w:val="1F2A33"/>
          <w:sz w:val="22"/>
          <w:szCs w:val="22"/>
        </w:rPr>
        <w:t xml:space="preserve"> Ma vigilance porte d'abord sur la frontière entre aider et faire à la place. Reconnaître mon « réflexe consultant » ne suffit pas : je m'astreins à le contenir en séance, en privilégiant l'induction minimale, ce que Brémond appelle le « geste écologique » — faire émerger plutôt qu'imposer. Ma méthode d'entretien en six phases (cadre et alliance, demande et besoin, exploration, mise en sens, plan d'action, clôture) est précisément un garde-fou de posture : elle m'oblige à ouvrir et à explorer avant de conclure, à mettre en sens avec l'étudiant avant tout plan d'action. L'application « Boussole » que j'ai conçue intègre d'ailleurs un miroir de posture qui me renvoie ma manière de conduire l'entretien. Je m'appuie aussi sur les apports de Le Boterf (savoir-agir, vouloir-agir, pouvoir-agir) et de Bandura (sentiment d'efficacité personnelle) pour vérifier que mes interventions renforcent la capacité d'agir de l'étudiant au lieu de s'y substituer. Cette vigilance est nourrie par une exigence personnelle que j'assume : « on ne peut pas accompagner dans le doute » — la clarté de ma place est ce qui sécurise celle de l'autre.</w:t>
      </w:r>
    </w:p>
    <w:p>
      <w:pPr>
        <w:spacing w:after="108" w:before="0" w:line="256"/>
        <w:jc w:val="both"/>
      </w:pPr>
      <w:r>
        <w:rPr>
          <w:rFonts w:ascii="Calibri" w:cs="Calibri" w:eastAsia="Calibri" w:hAnsi="Calibri"/>
          <w:b w:val="false"/>
          <w:bCs w:val="false"/>
          <w:color w:val="1F2A33"/>
          <w:sz w:val="22"/>
          <w:szCs w:val="22"/>
        </w:rPr>
        <w:t xml:space="preserve"/>
      </w:r>
      <w:r>
        <w:rPr>
          <w:rFonts w:ascii="Calibri" w:cs="Calibri" w:eastAsia="Calibri" w:hAnsi="Calibri"/>
          <w:b/>
          <w:bCs/>
          <w:color w:val="1F2A33"/>
          <w:sz w:val="22"/>
          <w:szCs w:val="22"/>
        </w:rPr>
        <w:t xml:space="preserve">Mes axes de progrès, assumés.</w:t>
      </w:r>
      <w:r>
        <w:rPr>
          <w:rFonts w:ascii="Calibri" w:cs="Calibri" w:eastAsia="Calibri" w:hAnsi="Calibri"/>
          <w:b w:val="false"/>
          <w:bCs w:val="false"/>
          <w:color w:val="1F2A33"/>
          <w:sz w:val="22"/>
          <w:szCs w:val="22"/>
        </w:rPr>
        <w:t xml:space="preserve"> Je situe ce critère à 5,5 sur 7 parce que je vois deux marges réelles. La première est l'accueil de l'émotionnel et l'écoute du niveau psychologique : ma pente naturelle, héritée de ma formation d'ingénieur, est de rester sur le registre rationnel — structurer, clarifier, résoudre. Or accompagner une transition professionnelle, c'est aussi accueillir le doute, le découragement, parfois l'angoisse de l'insertion. Damasio rappelle que les émotions sont des « boussoles » : je dois apprendre à les écouter comme des informations sur le cheminement de l'autre, et non comme un bruit à dépasser. La seconde marge concerne directement ce que la grille appelle la réévaluation dans le temps. J'entretiens une veille réflexive (analyse de pratiques, miroir de posture intégré à Boussole), mais cette relecture de mon positionnement reste pour l'essentiel adossée à des temps formels. Mon chantier est de la systématiser — d'instituer des points de réévaluation réguliers où j'interroge l'évolution de ma place et de ce que j'y investis. Nommer ces deux marges fait, je crois, partie de la maîtrise attendue ; c'est ce qui justifie une note haute mais non maximale.</w:t>
      </w:r>
    </w:p>
    <w:p>
      <w:pPr>
        <w:spacing w:after="140" w:before="60"/>
      </w:pPr>
      <w:r>
        <w:rPr>
          <w:rFonts w:ascii="Calibri" w:cs="Calibri" w:eastAsia="Calibri" w:hAnsi="Calibri"/>
          <w:b/>
          <w:bCs/>
          <w:color w:val="4A6C54"/>
          <w:sz w:val="20"/>
          <w:szCs w:val="20"/>
        </w:rPr>
        <w:t xml:space="preserve">Notions du cours mobilisées : </w:t>
      </w:r>
      <w:r>
        <w:rPr>
          <w:rFonts w:ascii="Calibri" w:cs="Calibri" w:eastAsia="Calibri" w:hAnsi="Calibri"/>
          <w:i/>
          <w:iCs/>
          <w:color w:val="4C5A64"/>
          <w:sz w:val="20"/>
          <w:szCs w:val="20"/>
        </w:rPr>
        <w:t xml:space="preserve">Maela Paul (relation « avec » et non « sur ») · Carl Rogers (non-jugement, croissance vs dépendance) · Porter (dosage des attitudes d'écoute, reformulation) · Brémond (geste écologique, induction minimale) · Le Boterf (savoir-agir / vouloir-agir / pouvoir-agir) · Bandura (sentiment d'efficacité personnelle) · Deci &amp; Ryan (théorie de l'autodétermination) · Damasio (les émotions comme boussoles) · Agentivité (« ce que je fais de ce qu'on a fait de moi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AF6EE" w:sz="2" w:space="1"/>
              <w:left w:val="single" w:color="16324F" w:sz="20" w:space="1"/>
              <w:bottom w:val="single" w:color="FAF6EE" w:sz="2" w:space="1"/>
              <w:right w:val="single" w:color="FAF6EE" w:sz="2" w:space="1"/>
            </w:tcBorders>
            <w:shd w:fill="FAF6EE" w:val="clear"/>
            <w:tcMar>
              <w:top w:type="dxa" w:w="120"/>
              <w:left w:type="dxa" w:w="220"/>
              <w:bottom w:type="dxa" w:w="120"/>
              <w:right w:type="dxa" w:w="200"/>
            </w:tcMar>
          </w:tcPr>
          <w:p>
            <w:pPr>
              <w:spacing w:line="268"/>
              <w:jc w:val="both"/>
            </w:pPr>
            <w:r>
              <w:rPr>
                <w:rFonts w:ascii="Calibri" w:cs="Calibri" w:eastAsia="Calibri" w:hAnsi="Calibri"/>
                <w:b/>
                <w:bCs/>
                <w:color w:val="16324F"/>
                <w:sz w:val="21"/>
                <w:szCs w:val="21"/>
              </w:rPr>
              <w:t xml:space="preserve">Mon axe de progrès — </w:t>
            </w:r>
            <w:r>
              <w:rPr>
                <w:rFonts w:ascii="Calibri" w:cs="Calibri" w:eastAsia="Calibri" w:hAnsi="Calibri"/>
                <w:color w:val="1F2A33"/>
                <w:sz w:val="21"/>
                <w:szCs w:val="21"/>
              </w:rPr>
              <w:t xml:space="preserve">Deux marges honnêtes. D'abord l'accueil de l'émotionnel et l'écoute du niveau psychologique : ma formation d'ingénieur me porte à rester sur le registre rationnel, alors que les émotions de l'étudiant sont, avec Damasio, des boussoles à écouter et non un bruit à dépasser. Ensuite la réévaluation de mon positionnement dans le temps, que la grille appelle explicitement : ma veille réflexive existe mais reste adossée à des temps formels ; mon objectif est de l'instituer en points de réévaluation réguliers de ma place et de ce que j'y investis.</w:t>
            </w:r>
          </w:p>
        </w:tc>
      </w:tr>
    </w:tbl>
    <w:p>
      <w:r>
        <w:br w:type="page"/>
      </w:r>
    </w:p>
    <w:p>
      <w:pPr>
        <w:pStyle w:val="Heading1"/>
      </w:pPr>
      <w:r>
        <w:rPr>
          <w:rFonts w:ascii="Calibri" w:cs="Calibri" w:eastAsia="Calibri" w:hAnsi="Calibri"/>
        </w:rPr>
        <w:t xml:space="preserve">Critère 2 — Positionnement dans la mise en œuvre de l'accompagnement</w:t>
      </w:r>
    </w:p>
    <w:p>
      <w:pPr>
        <w:spacing w:after="160"/>
      </w:pPr>
      <w:r>
        <w:rPr>
          <w:rFonts w:ascii="Calibri" w:cs="Calibri" w:eastAsia="Calibri" w:hAnsi="Calibri"/>
          <w:b/>
          <w:bCs/>
          <w:caps/>
          <w:color w:val="4A6C54"/>
          <w:spacing w:val="20"/>
          <w:sz w:val="20"/>
          <w:szCs w:val="20"/>
        </w:rPr>
        <w:t xml:space="preserve">Barème : 7 points</w:t>
      </w:r>
      <w:r>
        <w:rPr>
          <w:rFonts w:ascii="Calibri" w:cs="Calibri" w:eastAsia="Calibri" w:hAnsi="Calibri"/>
          <w:color w:val="4C5A64"/>
          <w:sz w:val="20"/>
          <w:szCs w:val="20"/>
        </w:rPr>
        <w:t xml:space="preserve">      Note proposée : </w:t>
      </w:r>
      <w:r>
        <w:rPr>
          <w:rFonts w:ascii="Calibri" w:cs="Calibri" w:eastAsia="Calibri" w:hAnsi="Calibri"/>
          <w:b/>
          <w:bCs/>
          <w:color w:val="16324F"/>
          <w:sz w:val="24"/>
          <w:szCs w:val="24"/>
        </w:rPr>
        <w:t xml:space="preserve">5,5 /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EEE8" w:sz="2" w:space="1"/>
              <w:left w:val="single" w:color="7C9A85" w:sz="20" w:space="1"/>
              <w:bottom w:val="single" w:color="E7EEE8" w:sz="2" w:space="1"/>
              <w:right w:val="single" w:color="E7EEE8" w:sz="2" w:space="1"/>
            </w:tcBorders>
            <w:shd w:fill="E7EEE8" w:val="clear"/>
            <w:tcMar>
              <w:top w:type="dxa" w:w="120"/>
              <w:left w:type="dxa" w:w="220"/>
              <w:bottom w:type="dxa" w:w="120"/>
              <w:right w:type="dxa" w:w="200"/>
            </w:tcMar>
          </w:tcPr>
          <w:p>
            <w:pPr>
              <w:spacing w:line="268"/>
              <w:jc w:val="both"/>
            </w:pPr>
            <w:r>
              <w:rPr>
                <w:rFonts w:ascii="Calibri" w:cs="Calibri" w:eastAsia="Calibri" w:hAnsi="Calibri"/>
                <w:b/>
                <w:bCs/>
                <w:color w:val="16324F"/>
                <w:sz w:val="21"/>
                <w:szCs w:val="21"/>
              </w:rPr>
              <w:t xml:space="preserve">Ce que la grille invite à interroger — </w:t>
            </w:r>
            <w:r>
              <w:rPr>
                <w:rFonts w:ascii="Calibri" w:cs="Calibri" w:eastAsia="Calibri" w:hAnsi="Calibri"/>
                <w:i/>
                <w:iCs/>
                <w:color w:val="1F2A33"/>
                <w:sz w:val="21"/>
                <w:szCs w:val="21"/>
              </w:rPr>
              <w:t xml:space="preserve">Comment je peux justifier les stratégies, méthodes, techniques et outils que je privilégie ? Comment je m’ajuste sensiblement, voire intuitivement, et quel équilibre j’instaure entre la dimension stratégique, méthodique et intuitive de l’accompagnement ?</w:t>
            </w:r>
          </w:p>
        </w:tc>
      </w:tr>
    </w:tbl>
    <w:p>
      <w:pPr>
        <w:pBdr>
          <w:left w:val="single" w:color="7C9A85" w:sz="18" w:space="1"/>
        </w:pBdr>
        <w:spacing w:after="160" w:line="276"/>
        <w:ind w:left="220"/>
      </w:pPr>
      <w:r>
        <w:rPr>
          <w:rFonts w:ascii="Calibri" w:cs="Calibri" w:eastAsia="Calibri" w:hAnsi="Calibri"/>
          <w:i/>
          <w:iCs/>
          <w:color w:val="16324F"/>
          <w:sz w:val="24"/>
          <w:szCs w:val="24"/>
        </w:rPr>
        <w:t xml:space="preserve">Mettre en œuvre, pour moi, ce n'est pas appliquer une recette : c'est tenir un cadre que je sais justifier, tout en m'autorisant à le déposer quand la personne, ici et maintenant, m'en demande un autre.</w:t>
      </w:r>
    </w:p>
    <w:p>
      <w:pPr>
        <w:spacing w:after="108" w:before="0" w:line="256"/>
        <w:jc w:val="both"/>
      </w:pPr>
      <w:r>
        <w:rPr>
          <w:rFonts w:ascii="Calibri" w:cs="Calibri" w:eastAsia="Calibri" w:hAnsi="Calibri"/>
          <w:b w:val="false"/>
          <w:bCs w:val="false"/>
          <w:color w:val="1F2A33"/>
          <w:sz w:val="22"/>
          <w:szCs w:val="22"/>
        </w:rPr>
        <w:t xml:space="preserve">C'est le critère où je me sens le plus chez moi, et je veux le dire sans fausse modestie : poser un cadre, structurer des étapes, outiller une progression, c'est mon point fort. Il vient de loin — de l'auto-école familiale, où j'ai vu mon père ajuster ses explications pour que chaque élève surmonte sa difficulté et gagne en confiance — et il s'est professionnalisé dans mon métier de chef de projet (PMP) puis d'enseignant en master alternance. Ma conviction fondatrice, « la pédagogie n'est pas une approche unique mais un art d'adaptation aux besoins de chacun », se traduit concrètement par une production qui matérialise une stratégie de mise en œuvre : une méthode d'entretien en six phases (cadre &amp; alliance → demande/besoin → exploration → mise en sens → plan d'action → clôture) et une application web, Boussole, qui l'opérationnalise avec l'appui de l'IA. Cette méthode n'est pas un habillage : c'est la colonne vertébrale stratégique et méthodique de mon accompagnement, éprouvée sur une situation réelle — mes étudiants en alternance, profils techniques et développeurs, que j'aide à passer du monde académique au monde professionnel à travers la production de leur mémoire de fin d'études.</w:t>
      </w:r>
    </w:p>
    <w:p>
      <w:pPr>
        <w:spacing w:after="108" w:before="0" w:line="256"/>
        <w:jc w:val="both"/>
      </w:pPr>
      <w:r>
        <w:rPr>
          <w:rFonts w:ascii="Calibri" w:cs="Calibri" w:eastAsia="Calibri" w:hAnsi="Calibri"/>
          <w:b w:val="false"/>
          <w:bCs w:val="false"/>
          <w:color w:val="1F2A33"/>
          <w:sz w:val="22"/>
          <w:szCs w:val="22"/>
        </w:rPr>
        <w:t xml:space="preserve">À la première question de la grille — comment je justifie les stratégies, méthodes, techniques et outils que je privilégie ? — je réponds par des ancrages explicites, et non par habitude. Le séquençage en six phases découle de Le Boterf : je ne traite pas la compétence comme un bloc, mais comme l'articulation d'un savoir-agir (l'exploration, la mise en sens), d'un vouloir-agir (l'alliance initiale, le sens donné au mémoire) et d'un pouvoir-agir (le plan d'action, les jalons réalistes alignés sur le métacadre du centre). Mon dosage des interventions est, lui, directement réglé sur Porter : reformulation et questionnement d'abord, conseil seulement s'il est demandé, pour éviter le glissement vers l'interprétation ou le jugement. Quant à mon outillage de la progression — micro-objectifs, critères de réussite, feedback régulier, les « boucles » que Boussole rend visibles —, il vise le sentiment d'efficacité personnelle de Bandura : faire vivre à l'étudiant des réussites graduées pour qu'il se sente capable, plutôt que de le submerger d'attentes. Chaque choix d'outil répond donc à une intention théorisée, et c'est cela que j'appelle justifier.</w:t>
      </w:r>
    </w:p>
    <w:p>
      <w:pPr>
        <w:spacing w:after="108" w:before="0" w:line="256"/>
        <w:jc w:val="both"/>
      </w:pPr>
      <w:r>
        <w:rPr>
          <w:rFonts w:ascii="Calibri" w:cs="Calibri" w:eastAsia="Calibri" w:hAnsi="Calibri"/>
          <w:b w:val="false"/>
          <w:bCs w:val="false"/>
          <w:color w:val="1F2A33"/>
          <w:sz w:val="22"/>
          <w:szCs w:val="22"/>
        </w:rPr>
        <w:t xml:space="preserve">La justesse de l'outil tient surtout à un préalable que je travaille en amont : distinguer la demande du besoin. Derrière « je ne sais pas comment structurer mon mémoire » se cache souvent « je ne me sens pas légitime à écrire sur mon travail ». Si je réponds à la demande littérale par un plan-type, je rate le besoin. C'est pourquoi la deuxième phase de ma méthode est explicitement consacrée à faire formuler et reformuler le besoin réel avant toute action — une exigence que Boussole inscrit dans son déroulé pour m'empêcher, moi le premier, de court-circuiter cette étape. Et je revendique d'adapter l'outil à la personne sans le croire universel : le kit pédagogique, le mini-site, l'entretien ne sont pas un gabarit qu'on plaque, mais un répertoire dans lequel je puise selon le profil. J'accepte d'itérer, de retoucher la méthode quand elle frotte contre le réel : c'est précisément ce qui me distingue d'une application mécanique du cadre.</w:t>
      </w:r>
    </w:p>
    <w:p>
      <w:pPr>
        <w:spacing w:after="108" w:before="0" w:line="256"/>
        <w:jc w:val="both"/>
      </w:pPr>
      <w:r>
        <w:rPr>
          <w:rFonts w:ascii="Calibri" w:cs="Calibri" w:eastAsia="Calibri" w:hAnsi="Calibri"/>
          <w:b w:val="false"/>
          <w:bCs w:val="false"/>
          <w:color w:val="1F2A33"/>
          <w:sz w:val="22"/>
          <w:szCs w:val="22"/>
        </w:rPr>
        <w:t xml:space="preserve">La seconde question de la prof est plus exigeante pour moi, et je la prends de front : comment je m'ajuste sensiblement, voire intuitivement, et quel équilibre j'instaure entre le stratégique, le méthodique et l'intuitif ? Honnêtement, mon équilibre penche aujourd'hui vers les deux premiers registres. Je suis solide quand il faut anticiper, séquencer, outiller ; je le suis moins quand la situation appelle de fermer le classeur et de suivre l'étudiant là où il va — au sens de Maela Paul, une relation avec et non sur, « se joindre à quelqu'un pour aller où il va, en même temps que lui ». L'ajustement intuitif suppose de lire les signaux faibles, d'accueillir l'émotion comme une boussole (Damasio) et d'oser m'écarter du plan quand l'instant l'exige. Je sais le faire ponctuellement — interrompre une phase prévue parce que l'étudiant a besoin d'être rassuré avant d'avancer — mais je ne l'ai pas encore érigé en aisance ; c'est davantage une décision raisonnée qu'un réflexe assumé.</w:t>
      </w:r>
    </w:p>
    <w:p>
      <w:pPr>
        <w:spacing w:after="108" w:before="0" w:line="256"/>
        <w:jc w:val="both"/>
      </w:pPr>
      <w:r>
        <w:rPr>
          <w:rFonts w:ascii="Calibri" w:cs="Calibri" w:eastAsia="Calibri" w:hAnsi="Calibri"/>
          <w:b w:val="false"/>
          <w:bCs w:val="false"/>
          <w:color w:val="1F2A33"/>
          <w:sz w:val="22"/>
          <w:szCs w:val="22"/>
        </w:rPr>
        <w:t xml:space="preserve">Mon principal angle mort, je l'ai identifié et nommé en séance : le « réflexe consultant », ma tendance à donner la solution plutôt qu'à la faire émerger. La grille y consacre un indicateur entier (faire émerger la solution de l'étudiant plutôt que de la fournir) et c'est ce qui m'a fait basculer, en FAD108, d'une posture d'expert vers une posture de facilitateur — « accompagner, ce n'est pas bien expliquer, c'est construire un cadre qui rend l'autre plus autonome », passer d'une logique « je prouve » à une logique « je construis ». La conviction est acquise ; le geste ne l'est pas encore à chaque entretien. C'est ici que je rejoins Brémond et son geste écologique : l'induction minimale, faire émerger plutôt qu'imposer. Quand je propose une reformulation trop aboutie, je prive l'étudiant du chemin qui le rendrait auteur. Mon chantier est donc de réduire mon empreinte : poser la question qui ouvre plutôt que la réponse qui ferme, et accepter le silence qui laisse l'autre trouver.</w:t>
      </w:r>
    </w:p>
    <w:p>
      <w:pPr>
        <w:spacing w:after="108" w:before="0" w:line="256"/>
        <w:jc w:val="both"/>
      </w:pPr>
      <w:r>
        <w:rPr>
          <w:rFonts w:ascii="Calibri" w:cs="Calibri" w:eastAsia="Calibri" w:hAnsi="Calibri"/>
          <w:b w:val="false"/>
          <w:bCs w:val="false"/>
          <w:color w:val="1F2A33"/>
          <w:sz w:val="22"/>
          <w:szCs w:val="22"/>
        </w:rPr>
        <w:t xml:space="preserve">Voilà pourquoi je situe ce critère à 5,5 / 7 et non plus haut. La mise en œuvre est réellement solide, étayée et cohérente : la grille, l'oral et l'outil disent la même chose, et chacun de mes choix se justifie par un ancrage que je peux nommer. Mais une note de 6,5 ou 7 supposerait que j'aie atteint l'équilibre que la prof appelle entre stratégique, méthodique et intuitif — or je reconnais que le registre intuitif et l'art de faire émerger restent, pour moi, des marges de consolidation plutôt que des acquis stabilisés. Me donner moins serait nier une vraie maîtrise ; me donner plus serait précisément retomber dans le « je prouve » que je cherche à dépasser. 5,5 / 7 est la note honnête d'un praticien qui tient son cadre et sait pourquoi, et dont le prochain pas est d'oser le tenir avec plus de souplesse.</w:t>
      </w:r>
    </w:p>
    <w:p>
      <w:pPr>
        <w:spacing w:after="140" w:before="60"/>
      </w:pPr>
      <w:r>
        <w:rPr>
          <w:rFonts w:ascii="Calibri" w:cs="Calibri" w:eastAsia="Calibri" w:hAnsi="Calibri"/>
          <w:b/>
          <w:bCs/>
          <w:color w:val="4A6C54"/>
          <w:sz w:val="20"/>
          <w:szCs w:val="20"/>
        </w:rPr>
        <w:t xml:space="preserve">Notions du cours mobilisées : </w:t>
      </w:r>
      <w:r>
        <w:rPr>
          <w:rFonts w:ascii="Calibri" w:cs="Calibri" w:eastAsia="Calibri" w:hAnsi="Calibri"/>
          <w:i/>
          <w:iCs/>
          <w:color w:val="4C5A64"/>
          <w:sz w:val="20"/>
          <w:szCs w:val="20"/>
        </w:rPr>
        <w:t xml:space="preserve">Porter (dosage des attitudes : reformulation et questionnement avant le conseil) · Brémond (geste écologique, induction minimale, faire émerger) · Le Boterf (compétence = savoir-agir / vouloir-agir / pouvoir-agir) · Bandura (sentiment d'efficacité personnelle, boucles de progression) · Maela Paul (relation « avec » et non « sur ») · Damasio (les émotions comme boussoles) · Distinction demande / besoin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AF6EE" w:sz="2" w:space="1"/>
              <w:left w:val="single" w:color="16324F" w:sz="20" w:space="1"/>
              <w:bottom w:val="single" w:color="FAF6EE" w:sz="2" w:space="1"/>
              <w:right w:val="single" w:color="FAF6EE" w:sz="2" w:space="1"/>
            </w:tcBorders>
            <w:shd w:fill="FAF6EE" w:val="clear"/>
            <w:tcMar>
              <w:top w:type="dxa" w:w="120"/>
              <w:left w:type="dxa" w:w="220"/>
              <w:bottom w:type="dxa" w:w="120"/>
              <w:right w:type="dxa" w:w="200"/>
            </w:tcMar>
          </w:tcPr>
          <w:p>
            <w:pPr>
              <w:spacing w:line="268"/>
              <w:jc w:val="both"/>
            </w:pPr>
            <w:r>
              <w:rPr>
                <w:rFonts w:ascii="Calibri" w:cs="Calibri" w:eastAsia="Calibri" w:hAnsi="Calibri"/>
                <w:b/>
                <w:bCs/>
                <w:color w:val="16324F"/>
                <w:sz w:val="21"/>
                <w:szCs w:val="21"/>
              </w:rPr>
              <w:t xml:space="preserve">Mon axe de progrès — </w:t>
            </w:r>
            <w:r>
              <w:rPr>
                <w:rFonts w:ascii="Calibri" w:cs="Calibri" w:eastAsia="Calibri" w:hAnsi="Calibri"/>
                <w:color w:val="1F2A33"/>
                <w:sz w:val="21"/>
                <w:szCs w:val="21"/>
              </w:rPr>
              <w:t xml:space="preserve">Mon axe de progrès assumé est de rééquilibrer ma pratique vers l'émergence et l'intuition. Concrètement, réduire mon « réflexe consultant » en privilégiant la question qui ouvre sur la réponse qui ferme (geste écologique de Brémond), et m'autoriser plus délibérément à m'écarter du plan en six phases quand la lecture sensible de la relation l'exige — accueillir l'émotion comme signal (Damasio) et suivre l'étudiant là où il va (Maela Paul), plutôt que de toujours le ramener à ma structure.</w:t>
            </w:r>
          </w:p>
        </w:tc>
      </w:tr>
    </w:tbl>
    <w:p>
      <w:r>
        <w:br w:type="page"/>
      </w:r>
    </w:p>
    <w:p>
      <w:pPr>
        <w:pStyle w:val="Heading1"/>
      </w:pPr>
      <w:r>
        <w:rPr>
          <w:rFonts w:ascii="Calibri" w:cs="Calibri" w:eastAsia="Calibri" w:hAnsi="Calibri"/>
        </w:rPr>
        <w:t xml:space="preserve">Critère 3 — Positionnement professionnel</w:t>
      </w:r>
    </w:p>
    <w:p>
      <w:pPr>
        <w:spacing w:after="160"/>
      </w:pPr>
      <w:r>
        <w:rPr>
          <w:rFonts w:ascii="Calibri" w:cs="Calibri" w:eastAsia="Calibri" w:hAnsi="Calibri"/>
          <w:b/>
          <w:bCs/>
          <w:caps/>
          <w:color w:val="4A6C54"/>
          <w:spacing w:val="20"/>
          <w:sz w:val="20"/>
          <w:szCs w:val="20"/>
        </w:rPr>
        <w:t xml:space="preserve">Barème : 6 points</w:t>
      </w:r>
      <w:r>
        <w:rPr>
          <w:rFonts w:ascii="Calibri" w:cs="Calibri" w:eastAsia="Calibri" w:hAnsi="Calibri"/>
          <w:color w:val="4C5A64"/>
          <w:sz w:val="20"/>
          <w:szCs w:val="20"/>
        </w:rPr>
        <w:t xml:space="preserve">      Note proposée : </w:t>
      </w:r>
      <w:r>
        <w:rPr>
          <w:rFonts w:ascii="Calibri" w:cs="Calibri" w:eastAsia="Calibri" w:hAnsi="Calibri"/>
          <w:b/>
          <w:bCs/>
          <w:color w:val="16324F"/>
          <w:sz w:val="24"/>
          <w:szCs w:val="24"/>
        </w:rPr>
        <w:t xml:space="preserve">5 /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EEE8" w:sz="2" w:space="1"/>
              <w:left w:val="single" w:color="7C9A85" w:sz="20" w:space="1"/>
              <w:bottom w:val="single" w:color="E7EEE8" w:sz="2" w:space="1"/>
              <w:right w:val="single" w:color="E7EEE8" w:sz="2" w:space="1"/>
            </w:tcBorders>
            <w:shd w:fill="E7EEE8" w:val="clear"/>
            <w:tcMar>
              <w:top w:type="dxa" w:w="120"/>
              <w:left w:type="dxa" w:w="220"/>
              <w:bottom w:type="dxa" w:w="120"/>
              <w:right w:type="dxa" w:w="200"/>
            </w:tcMar>
          </w:tcPr>
          <w:p>
            <w:pPr>
              <w:spacing w:line="268"/>
              <w:jc w:val="both"/>
            </w:pPr>
            <w:r>
              <w:rPr>
                <w:rFonts w:ascii="Calibri" w:cs="Calibri" w:eastAsia="Calibri" w:hAnsi="Calibri"/>
                <w:b/>
                <w:bCs/>
                <w:color w:val="16324F"/>
                <w:sz w:val="21"/>
                <w:szCs w:val="21"/>
              </w:rPr>
              <w:t xml:space="preserve">Ce que la grille invite à interroger — </w:t>
            </w:r>
            <w:r>
              <w:rPr>
                <w:rFonts w:ascii="Calibri" w:cs="Calibri" w:eastAsia="Calibri" w:hAnsi="Calibri"/>
                <w:i/>
                <w:iCs/>
                <w:color w:val="1F2A33"/>
                <w:sz w:val="21"/>
                <w:szCs w:val="21"/>
              </w:rPr>
              <w:t xml:space="preserve">Quelles difficultés je rencontre, ou pourrais rencontrer, dans cette fonction ? Quels en sont le rayonnement, les zones de tension, les évolutions possibles et mes souhaits ? Quelle importance je perçois à cette fonction dans la société contemporaine ?</w:t>
            </w:r>
          </w:p>
        </w:tc>
      </w:tr>
    </w:tbl>
    <w:p>
      <w:pPr>
        <w:pBdr>
          <w:left w:val="single" w:color="7C9A85" w:sz="18" w:space="1"/>
        </w:pBdr>
        <w:spacing w:after="160" w:line="276"/>
        <w:ind w:left="220"/>
      </w:pPr>
      <w:r>
        <w:rPr>
          <w:rFonts w:ascii="Calibri" w:cs="Calibri" w:eastAsia="Calibri" w:hAnsi="Calibri"/>
          <w:i/>
          <w:iCs/>
          <w:color w:val="16324F"/>
          <w:sz w:val="24"/>
          <w:szCs w:val="24"/>
        </w:rPr>
        <w:t xml:space="preserve">« On ne peut pas accompagner dans le doute » : j'ai fait de cette conviction une fonction — et d'un regard critique sur cette fonction, une exigence.</w:t>
      </w:r>
    </w:p>
    <w:p>
      <w:pPr>
        <w:spacing w:after="108" w:before="0" w:line="256"/>
        <w:jc w:val="both"/>
      </w:pPr>
      <w:r>
        <w:rPr>
          <w:rFonts w:ascii="Calibri" w:cs="Calibri" w:eastAsia="Calibri" w:hAnsi="Calibri"/>
          <w:b w:val="false"/>
          <w:bCs w:val="false"/>
          <w:color w:val="1F2A33"/>
          <w:sz w:val="22"/>
          <w:szCs w:val="22"/>
        </w:rPr>
        <w:t xml:space="preserve">Ce critère interroge ma capacité à me situer comme professionnel de l'accompagnement et à porter sur cette fonction un point de vue argumenté. Je l'aborde avec une réflexivité que je revendique parce qu'elle ne m'est pas extérieure : elle précède même mon métier d'ingénieur. J'ai grandi dans l'auto-école familiale, où j'ai vu mon père ajuster ses explications pour aider chaque élève à surmonter ses difficultés et gagner en confiance — d'où ma conviction fondatrice que « la pédagogie n'est pas une approche unique, mais un art d'adaptation aux besoins de chacun ». Cette origine fait que je ne récite pas des auteurs : je les mobilise spontanément pour nommer ce que je fais déjà. Le Boterf me donne le mot juste pour cela — rendre l'expérience nommable comme savoir : ce que l'auto-école m'avait transmis comme intuition (Comprendre → Structurer → Transmettre), le cours me permet de le formuler comme un savoir-agir réfléchi, et non comme un simple don pédagogique. C'est, je crois, la première marque d'un positionnement professionnel : être capable de dire pourquoi je fais ce que je fais.</w:t>
      </w:r>
    </w:p>
    <w:p>
      <w:pPr>
        <w:spacing w:after="108" w:before="0" w:line="256"/>
        <w:jc w:val="both"/>
      </w:pPr>
      <w:r>
        <w:rPr>
          <w:rFonts w:ascii="Calibri" w:cs="Calibri" w:eastAsia="Calibri" w:hAnsi="Calibri"/>
          <w:b w:val="false"/>
          <w:bCs w:val="false"/>
          <w:color w:val="1F2A33"/>
          <w:sz w:val="22"/>
          <w:szCs w:val="22"/>
        </w:rPr>
        <w:t xml:space="preserve">Ma conviction est claire et je l'assume : « on ne peut pas accompagner dans le doute ». Cela ne signifie pas que je détienne la vérité de l'autre — ce serait contredire Maela Paul, pour qui accompagner est une relation AVEC et non une intervention SUR, « se joindre à quelqu'un pour aller où il va, en même temps que lui ». Cela signifie que je dois être au clair sur MA place, mon cadre et mes intentions pour que l'étudiant, lui, puisse douter, chercher et se tromper en sécurité. Cette assurance de la posture, je l'ai conquise en FAD108 en passant explicitement d'une logique « je prouve » à une logique « je construis », de l'expert au facilitateur. Et je sais l'articuler à une éthique précise : je distingue la responsabilité des MOYENS et celle du RÉSULTAT. Je suis comptable de la qualité du cadre, de l'écoute, de la justesse des relances — pas de la note finale du mémoire ni de la trajectoire de l'étudiant, qui lui appartiennent. C'est aussi pour cela que je tiens à mon principe « je critique un livrable, jamais une personne » : il protège l'agentivité de l'autre, au sens où l'important n'est pas ce que l'on fait de lui, mais ce qu'il fait de ce que je lui apporte.</w:t>
      </w:r>
    </w:p>
    <w:p>
      <w:pPr>
        <w:spacing w:after="108" w:before="0" w:line="256"/>
        <w:jc w:val="both"/>
      </w:pPr>
      <w:r>
        <w:rPr>
          <w:rFonts w:ascii="Calibri" w:cs="Calibri" w:eastAsia="Calibri" w:hAnsi="Calibri"/>
          <w:b w:val="false"/>
          <w:bCs w:val="false"/>
          <w:color w:val="1F2A33"/>
          <w:sz w:val="22"/>
          <w:szCs w:val="22"/>
        </w:rPr>
        <w:t xml:space="preserve">La première question de la prof — les difficultés que je rencontre ou pourrais rencontrer — je ne l'esquive pas. Ma difficulté principale a un nom que j'ai posé en séance : le « réflexe consultant », ma pente naturelle à livrer la solution là où ma fonction est de la faire émerger. C'est une difficulté structurelle pour moi, car elle vient de là où je suis le plus compétent : mon métier de chef de projet me paie précisément pour résoudre vite. La fonction d'accompagnant exige l'inverse — l'induction minimale du « geste écologique » de Brémond, le dosage des attitudes de Porter (reformuler plutôt qu'interpréter ou juger), la patience de laisser l'autre trouver. La seconde difficulté tient à la frontière émotionnelle. J'accompagne des profils techniques en transition académique → professionnel, et cet objet-support qu'est leur mémoire touche souvent à leur légitimité, à leur peur de ne pas être à la hauteur. Damasio m'aide ici : je traite les émotions — les leurs comme les miennes — comme des boussoles, des signaux à lire et non des parasites à écarter. Mais je connais ma limite et je la tiens : si un étudiant déborde vers la détresse, je ne suis pas psy ; mon professionnalisme est alors d'orienter et de relayer, pas de jouer un rôle que je n'ai pas.</w:t>
      </w:r>
    </w:p>
    <w:p>
      <w:pPr>
        <w:spacing w:after="108" w:before="0" w:line="256"/>
        <w:jc w:val="both"/>
      </w:pPr>
      <w:r>
        <w:rPr>
          <w:rFonts w:ascii="Calibri" w:cs="Calibri" w:eastAsia="Calibri" w:hAnsi="Calibri"/>
          <w:b w:val="false"/>
          <w:bCs w:val="false"/>
          <w:color w:val="1F2A33"/>
          <w:sz w:val="22"/>
          <w:szCs w:val="22"/>
        </w:rPr>
        <w:t xml:space="preserve">La deuxième question — rayonnement, zones de tension, évolutions, mes souhaits — appelle un point de vue critique, et c'est là que mon analyse est la plus engagée. Le rayonnement de cette fonction est réel et croissant : dans un monde où l'on somme chacun de « piloter sa carrière », l'accompagnement devient le métier qui rend cette injonction vivable. Mais c'est précisément sa zone de tension majeure, et je refuse de la naturaliser : l'injonction sociale à l'autonomie peut se retourner en une nouvelle violence — « débrouille-toi, sois agentif » — qui culpabilise ceux qui n'ont pas les ressources pour l'être. Le risque professionnel est que l'accompagnant devienne le bras armé de cette injonction, sous couvert de bienveillance. Mon point de vue, étayé par la théorie de l'autodétermination de Deci &amp; Ryan, est que l'autonomie n'est pas un préalable que l'on exige mais un besoin que l'on nourrit, au même titre que la compétence et l'appartenance ; on ne décrète pas l'autonomie d'autrui, on en construit les conditions — c'est exactement ce que vise Bandura avec le sentiment d'efficacité personnelle. Quant aux évolutions, je les vois — et je les pratique — du côté de l'outillage : mon application Boussole opérationnalise ma méthode d'entretien en six phases avec l'appui de l'IA. Mon souhait y est aussi ma vigilance : que l'outil augmente l'accompagnant sans jamais standardiser la relation, car une méthode reste un cadre à habiter, non un script à exécuter.</w:t>
      </w:r>
    </w:p>
    <w:p>
      <w:pPr>
        <w:spacing w:after="108" w:before="0" w:line="256"/>
        <w:jc w:val="both"/>
      </w:pPr>
      <w:r>
        <w:rPr>
          <w:rFonts w:ascii="Calibri" w:cs="Calibri" w:eastAsia="Calibri" w:hAnsi="Calibri"/>
          <w:b w:val="false"/>
          <w:bCs w:val="false"/>
          <w:color w:val="1F2A33"/>
          <w:sz w:val="22"/>
          <w:szCs w:val="22"/>
        </w:rPr>
        <w:t xml:space="preserve">La troisième question — la place de cette fonction dans la société contemporaine — je la perçois comme importante, et pour une raison que je peux situer précisément. J'accompagne des étudiants techniques dont la compétence est réelle mais souvent muette : ils savent faire, sans savoir rendre leur savoir-faire visible et légitime aux yeux du monde professionnel. La fonction sociale que je revendique est exactement celle-là — aider à transformer une compétence technique en une compétence nommable et reconnue, c'est-à-dire, avec Le Boterf, à conjuguer le savoir-agir avec le vouloir-agir et le pouvoir-agir. Dans une société qui trie sur la capacité à se raconter, accompagner cette mise en mots n'est pas un confort : c'est un acte d'équité. Je résume cette tenue par ma « rigueur bienveillante » et par l'image du « lien élastique » — une juste distance, disponible sans fusion, fidèle au non-jugement de Rogers qui vise la croissance et non la dépendance. Si je situe ce critère à 5/6 plutôt que plus haut, c'est par honnêteté sur deux marges que je tiens à nommer, car les nommer fait partie de la maîtrise attendue.</w:t>
      </w:r>
    </w:p>
    <w:p>
      <w:pPr>
        <w:spacing w:after="108" w:before="0" w:line="256"/>
        <w:jc w:val="both"/>
      </w:pPr>
      <w:r>
        <w:rPr>
          <w:rFonts w:ascii="Calibri" w:cs="Calibri" w:eastAsia="Calibri" w:hAnsi="Calibri"/>
          <w:b w:val="false"/>
          <w:bCs w:val="false"/>
          <w:color w:val="1F2A33"/>
          <w:sz w:val="22"/>
          <w:szCs w:val="22"/>
        </w:rPr>
        <w:t xml:space="preserve">Ces deux marges sont mon axe de progrès assumé. La première est le détachement du résultat : je conçois clairement la « responsabilité des moyens, pas du résultat », mais le vivre en continu — ne pas faire mienne la réussite de l'étudiant — reste un travail, d'autant plus exigeant que mon réflexe consultant me pousse à m'investir dans l'aboutissement. La seconde est la conscience continue de mes propres filtres : je sais que mon histoire (l'auto-école, le métier d'ingénieur) colore ce que je perçois et valorise, et cette vigilance gagnerait à devenir un réflexe plutôt qu'un constat. Enfin, mon analyse critique de la fonction — que je viens de poser sur le rayonnement, les tensions et les évolutions — je la veux encore plus étayée et prospective, pour qu'elle ne reste pas une conviction mais devienne un argumentaire que je documente et confronte. C'est précisément ce travail continu, par l'analyse de pratiques, que ma fonction réclame de moi : un positionnement professionnel n'est jamais acquis, il se réévalue.</w:t>
      </w:r>
    </w:p>
    <w:p>
      <w:pPr>
        <w:spacing w:after="140" w:before="60"/>
      </w:pPr>
      <w:r>
        <w:rPr>
          <w:rFonts w:ascii="Calibri" w:cs="Calibri" w:eastAsia="Calibri" w:hAnsi="Calibri"/>
          <w:b/>
          <w:bCs/>
          <w:color w:val="4A6C54"/>
          <w:sz w:val="20"/>
          <w:szCs w:val="20"/>
        </w:rPr>
        <w:t xml:space="preserve">Notions du cours mobilisées : </w:t>
      </w:r>
      <w:r>
        <w:rPr>
          <w:rFonts w:ascii="Calibri" w:cs="Calibri" w:eastAsia="Calibri" w:hAnsi="Calibri"/>
          <w:i/>
          <w:iCs/>
          <w:color w:val="4C5A64"/>
          <w:sz w:val="20"/>
          <w:szCs w:val="20"/>
        </w:rPr>
        <w:t xml:space="preserve">Deci &amp; Ryan — théorie de l'autodétermination (autonomie, compétence, appartenance) · Agentivité (ce que je fais de ce qu'on a fait de moi) · Le Boterf — savoir-agir / vouloir-agir / pouvoir-agir ; rendre l'expérience nommable comme savoir · Damasio — les émotions comme boussoles · Maela Paul — accompagner = relation AVEC, non intervention SUR · Rogers — non-jugement, viser la croissance et non la dépendance · Porter — dosage des attitudes d'écoute, reformulation · Brémond — geste écologique, induction minimale · Bandura — sentiment d'efficacité personnelle · Regard critique sur l'injonction sociale à l'autonomie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AF6EE" w:sz="2" w:space="1"/>
              <w:left w:val="single" w:color="16324F" w:sz="20" w:space="1"/>
              <w:bottom w:val="single" w:color="FAF6EE" w:sz="2" w:space="1"/>
              <w:right w:val="single" w:color="FAF6EE" w:sz="2" w:space="1"/>
            </w:tcBorders>
            <w:shd w:fill="FAF6EE" w:val="clear"/>
            <w:tcMar>
              <w:top w:type="dxa" w:w="120"/>
              <w:left w:type="dxa" w:w="220"/>
              <w:bottom w:type="dxa" w:w="120"/>
              <w:right w:type="dxa" w:w="200"/>
            </w:tcMar>
          </w:tcPr>
          <w:p>
            <w:pPr>
              <w:spacing w:line="268"/>
              <w:jc w:val="both"/>
            </w:pPr>
            <w:r>
              <w:rPr>
                <w:rFonts w:ascii="Calibri" w:cs="Calibri" w:eastAsia="Calibri" w:hAnsi="Calibri"/>
                <w:b/>
                <w:bCs/>
                <w:color w:val="16324F"/>
                <w:sz w:val="21"/>
                <w:szCs w:val="21"/>
              </w:rPr>
              <w:t xml:space="preserve">Mon axe de progrès — </w:t>
            </w:r>
            <w:r>
              <w:rPr>
                <w:rFonts w:ascii="Calibri" w:cs="Calibri" w:eastAsia="Calibri" w:hAnsi="Calibri"/>
                <w:color w:val="1F2A33"/>
                <w:sz w:val="21"/>
                <w:szCs w:val="21"/>
              </w:rPr>
              <w:t xml:space="preserve">Mon axe de progrès honnête tient en deux points. D'abord le détachement du résultat : je conçois la « responsabilité des moyens, pas du résultat », mais le vivre en continu — sans m'approprier la réussite de l'étudiant, et malgré mon réflexe consultant — reste un travail à poursuivre, doublé d'une conscience plus systématique de mes propres filtres. Ensuite, mon analyse critique de la fonction (rayonnement, zones de tension, évolutions) gagnerait à être davantage étayée et prospective : la porter comme un argumentaire documenté et confronté, et non seulement comme une conviction. C'est ce travail continu, par l'analyse de pratiques, qui justifie 5/6 plutôt qu'une note supérieure.</w:t>
            </w:r>
          </w:p>
        </w:tc>
      </w:tr>
    </w:tbl>
    <w:p>
      <w:r>
        <w:br w:type="page"/>
      </w:r>
    </w:p>
    <w:p>
      <w:pPr>
        <w:pStyle w:val="Heading1"/>
      </w:pPr>
      <w:r>
        <w:rPr>
          <w:rFonts w:ascii="Calibri" w:cs="Calibri" w:eastAsia="Calibri" w:hAnsi="Calibri"/>
        </w:rPr>
        <w:t xml:space="preserve">Conclusion — fil rouge et engagement</w:t>
      </w:r>
    </w:p>
    <w:p>
      <w:pPr>
        <w:spacing w:after="108" w:before="0" w:line="256"/>
        <w:jc w:val="both"/>
      </w:pPr>
      <w:r>
        <w:rPr>
          <w:rFonts w:ascii="Calibri" w:cs="Calibri" w:eastAsia="Calibri" w:hAnsi="Calibri"/>
          <w:b w:val="false"/>
          <w:bCs w:val="false"/>
          <w:color w:val="1F2A33"/>
          <w:sz w:val="22"/>
          <w:szCs w:val="22"/>
        </w:rPr>
        <w:t xml:space="preserve">Au terme de la FAD130, je relis mon parcours comme une trajectoire cohérente : du « je prouve » de l’expert au « je construis » du facilitateur amorcé en FAD108, jusqu’à une pratique aujourd’hui outillée et théorisée. Mon fil rouge — Comprendre, Structurer, Transmettre — hérité de l’auto-école familiale, s’est mué en une posture d’accompagnement assumée : faire de l’étudiant l’auteur de son parcours, tenir une juste distance, et justifier chacun de mes choix par un ancrage que je sais nommer.</w:t>
      </w:r>
    </w:p>
    <w:p>
      <w:pPr>
        <w:spacing w:after="108" w:before="0" w:line="256"/>
        <w:jc w:val="both"/>
      </w:pPr>
      <w:r>
        <w:rPr>
          <w:rFonts w:ascii="Calibri" w:cs="Calibri" w:eastAsia="Calibri" w:hAnsi="Calibri"/>
          <w:b w:val="false"/>
          <w:bCs w:val="false"/>
          <w:color w:val="1F2A33"/>
          <w:sz w:val="22"/>
          <w:szCs w:val="22"/>
        </w:rPr>
        <w:t xml:space="preserve">Cette posture, je ne l’ai pas seulement décrite : je l’ai matérialisée. Ma méthode d’entretien en six phases et l’application Boussole (boussole.elafrit.com) opérationnalisent mes convictions, et l’ensemble de mes livrables (www.mohamedelafrit.com/fad130) en donne la preuve. C’est cette cohérence entre le dire, le faire et l’outil qui fonde la note de 16 / 20 que je propose.</w:t>
      </w:r>
    </w:p>
    <w:p>
      <w:pPr>
        <w:spacing w:after="108" w:before="0" w:line="256"/>
        <w:jc w:val="both"/>
      </w:pPr>
      <w:r>
        <w:rPr>
          <w:rFonts w:ascii="Calibri" w:cs="Calibri" w:eastAsia="Calibri" w:hAnsi="Calibri"/>
          <w:b w:val="false"/>
          <w:bCs w:val="false"/>
          <w:color w:val="1F2A33"/>
          <w:sz w:val="22"/>
          <w:szCs w:val="22"/>
        </w:rPr>
        <w:t xml:space="preserve">Mais je tiens autant à mes marges qu’à mes acquis, car les nommer est, pour moi, la marque d’un positionnement professionnel : accueillir davantage l’émotionnel, faire émerger plutôt que donner, me détacher du résultat, et réévaluer ma place dans le temps. Un positionnement n’est jamais acquis ; il se réévalue. C’est dans cet esprit — rigueur bienveillante et lucidité — que je présente cette auto-évaluation.</w:t>
      </w:r>
    </w:p>
    <w:p>
      <w:pPr>
        <w:spacing w:before="220"/>
      </w:pPr>
    </w:p>
    <w:p>
      <w:pPr>
        <w:pBdr>
          <w:bottom w:val="single" w:color="7C9A85" w:sz="12" w:space="1"/>
        </w:pBdr>
        <w:spacing w:after="160" w:before="0"/>
      </w:pPr>
    </w:p>
    <w:p>
      <w:pPr>
        <w:spacing w:after="40"/>
        <w:jc w:val="center"/>
      </w:pPr>
      <w:hyperlink w:history="1" r:id="rIdkj_2jri1e7yv6x5kfxtzi">
        <w:r>
          <w:rPr>
            <w:rFonts w:ascii="Calibri" w:cs="Calibri" w:eastAsia="Calibri" w:hAnsi="Calibri"/>
            <w:b/>
            <w:bCs/>
            <w:color w:val="2F5D7C"/>
            <w:sz w:val="22"/>
            <w:szCs w:val="22"/>
            <w:u w:val="single"/>
          </w:rPr>
          <w:t xml:space="preserve">boussole.elafrit.com</w:t>
        </w:r>
      </w:hyperlink>
      <w:r>
        <w:rPr>
          <w:rFonts w:ascii="Calibri" w:cs="Calibri" w:eastAsia="Calibri" w:hAnsi="Calibri"/>
          <w:color w:val="7C9A85"/>
        </w:rPr>
        <w:t xml:space="preserve">     ·     </w:t>
      </w:r>
      <w:hyperlink w:history="1" r:id="rIdgvg9j2bcvx94znoviugnm">
        <w:r>
          <w:rPr>
            <w:rFonts w:ascii="Calibri" w:cs="Calibri" w:eastAsia="Calibri" w:hAnsi="Calibri"/>
            <w:b/>
            <w:bCs/>
            <w:color w:val="2F5D7C"/>
            <w:sz w:val="22"/>
            <w:szCs w:val="22"/>
            <w:u w:val="single"/>
          </w:rPr>
          <w:t xml:space="preserve">www.mohamedelafrit.com</w:t>
        </w:r>
      </w:hyperlink>
      <w:r>
        <w:rPr>
          <w:rFonts w:ascii="Calibri" w:cs="Calibri" w:eastAsia="Calibri" w:hAnsi="Calibri"/>
          <w:color w:val="7C9A85"/>
        </w:rPr>
        <w:t xml:space="preserve">     ·     </w:t>
      </w:r>
      <w:hyperlink w:history="1" r:id="rIdnkzfkyds6rfoqhmp4rwo7">
        <w:r>
          <w:rPr>
            <w:rFonts w:ascii="Calibri" w:cs="Calibri" w:eastAsia="Calibri" w:hAnsi="Calibri"/>
            <w:b/>
            <w:bCs/>
            <w:color w:val="2F5D7C"/>
            <w:sz w:val="22"/>
            <w:szCs w:val="22"/>
            <w:u w:val="single"/>
          </w:rPr>
          <w:t xml:space="preserve">www.mohamedelafrit.com/fad130</w:t>
        </w:r>
      </w:hyperlink>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9A85" w:sz="6" w:space="1"/>
      </w:pBdr>
      <w:tabs>
        <w:tab w:val="right" w:pos="9026"/>
      </w:tabs>
      <w:spacing w:before="60"/>
    </w:pPr>
    <w:r>
      <w:rPr>
        <w:rFonts w:ascii="Calibri" w:cs="Calibri" w:eastAsia="Calibri" w:hAnsi="Calibri"/>
        <w:color w:val="4C5A64"/>
        <w:sz w:val="16"/>
        <w:szCs w:val="16"/>
      </w:rPr>
      <w:t xml:space="preserve">Auto-évaluation FAD130 · Mohamed EL AFRIT · boussole.elafrit.com</w:t>
    </w:r>
    <w:r>
      <w:rPr>
        <w:rFonts w:ascii="Calibri" w:cs="Calibri" w:eastAsia="Calibri" w:hAnsi="Calibri"/>
        <w:color w:val="4C5A64"/>
        <w:sz w:val="16"/>
        <w:szCs w:val="16"/>
      </w:rPr>
      <w:t xml:space="preserve">	Page </w:t>
    </w:r>
    <w:r>
      <w:rPr>
        <w:rFonts w:ascii="Calibri" w:cs="Calibri" w:eastAsia="Calibri" w:hAnsi="Calibri"/>
        <w:color w:val="4C5A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7EEE8" w:sz="12" w:space="1"/>
      </w:pBdr>
      <w:spacing w:after="180" w:before="120"/>
      <w:outlineLvl w:val="0"/>
    </w:pPr>
    <w:rPr>
      <w:rFonts w:ascii="Calibri" w:cs="Calibri" w:eastAsia="Calibri" w:hAnsi="Calibri"/>
      <w:b/>
      <w:bCs/>
      <w:color w:val="16324F"/>
      <w:sz w:val="30"/>
      <w:szCs w:val="30"/>
    </w:rPr>
  </w:style>
  <w:style w:type="paragraph" w:styleId="Heading2">
    <w:name w:val="Heading 2"/>
    <w:basedOn w:val="Normal"/>
    <w:next w:val="Normal"/>
    <w:qFormat/>
    <w:pPr>
      <w:spacing w:after="120" w:before="160"/>
      <w:outlineLvl w:val="1"/>
    </w:pPr>
    <w:rPr>
      <w:rFonts w:ascii="Calibri" w:cs="Calibri" w:eastAsia="Calibri" w:hAnsi="Calibri"/>
      <w:b/>
      <w:bCs/>
      <w:color w:val="4A6C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rul1i7vzisopjhocryc5f" Type="http://schemas.openxmlformats.org/officeDocument/2006/relationships/hyperlink" Target="https://boussole.elafrit.com" TargetMode="External"/><Relationship Id="rIdcunsgmzs6sj1ear895b76" Type="http://schemas.openxmlformats.org/officeDocument/2006/relationships/hyperlink" Target="https://www.mohamedelafrit.com" TargetMode="External"/><Relationship Id="rIdcxopbnpbgsn2p_ouqldrz" Type="http://schemas.openxmlformats.org/officeDocument/2006/relationships/hyperlink" Target="https://www.mohamedelafrit.com/fad130" TargetMode="External"/><Relationship Id="rIdkj_2jri1e7yv6x5kfxtzi" Type="http://schemas.openxmlformats.org/officeDocument/2006/relationships/hyperlink" Target="https://boussole.elafrit.com" TargetMode="External"/><Relationship Id="rIdgvg9j2bcvx94znoviugnm" Type="http://schemas.openxmlformats.org/officeDocument/2006/relationships/hyperlink" Target="https://www.mohamedelafrit.com" TargetMode="External"/><Relationship Id="rIdnkzfkyds6rfoqhmp4rwo7" Type="http://schemas.openxmlformats.org/officeDocument/2006/relationships/hyperlink" Target="https://www.mohamedelafrit.com/fad130"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Auto-évaluation FAD130</dc:title>
  <dc:creator>Mohamed EL AFRIT</dc:creator>
  <cp:lastModifiedBy>Un-named</cp:lastModifiedBy>
  <cp:revision>1</cp:revision>
  <dcterms:created xsi:type="dcterms:W3CDTF">2026-06-28T01:23:34.741Z</dcterms:created>
  <dcterms:modified xsi:type="dcterms:W3CDTF">2026-06-28T01:23:34.748Z</dcterms:modified>
</cp:coreProperties>
</file>

<file path=docProps/custom.xml><?xml version="1.0" encoding="utf-8"?>
<Properties xmlns="http://schemas.openxmlformats.org/officeDocument/2006/custom-properties" xmlns:vt="http://schemas.openxmlformats.org/officeDocument/2006/docPropsVTypes"/>
</file>