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9C7F33"/>
          <w:sz w:val="20"/>
        </w:rPr>
        <w:t>SUMMARY HANDOUT — CHAPTER 1</w:t>
      </w:r>
    </w:p>
    <w:p>
      <w:r>
        <w:rPr>
          <w:rFonts w:ascii="Calibri" w:hAnsi="Calibri"/>
          <w:b/>
          <w:color w:val="1B3A5B"/>
          <w:sz w:val="40"/>
        </w:rPr>
        <w:t>Scoping your course</w:t>
      </w:r>
    </w:p>
    <w:p>
      <w:r>
        <w:rPr>
          <w:rFonts w:ascii="Calibri" w:hAnsi="Calibri"/>
          <w:i/>
          <w:color w:val="3C4A5C"/>
          <w:sz w:val="22"/>
        </w:rPr>
        <w:t>Summary handout — Demo course “Designing an online course”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F4F6F9"/>
          </w:tcPr>
          <w:p>
            <w:r/>
            <w:r>
              <w:rPr>
                <w:rFonts w:ascii="Calibri" w:hAnsi="Calibri"/>
                <w:b/>
                <w:color w:val="1B3A5B"/>
                <w:sz w:val="22"/>
              </w:rPr>
              <w:t>Contents</w:t>
            </w:r>
          </w:p>
          <w:p>
            <w:r>
              <w:rPr>
                <w:rFonts w:ascii="Calibri" w:hAnsi="Calibri"/>
                <w:color w:val="3C4A5C"/>
                <w:sz w:val="20"/>
              </w:rPr>
              <w:t>•  1. The audience, first</w:t>
            </w:r>
          </w:p>
          <w:p>
            <w:r>
              <w:rPr>
                <w:rFonts w:ascii="Calibri" w:hAnsi="Calibri"/>
                <w:color w:val="3C4A5C"/>
                <w:sz w:val="20"/>
              </w:rPr>
              <w:t>•  2. Objectives you can verify</w:t>
            </w:r>
          </w:p>
          <w:p>
            <w:r>
              <w:rPr>
                <w:rFonts w:ascii="Calibri" w:hAnsi="Calibri"/>
                <w:color w:val="3C4A5C"/>
                <w:sz w:val="20"/>
              </w:rPr>
              <w:t>•  3. The through-line</w:t>
            </w:r>
          </w:p>
        </w:tc>
      </w:tr>
    </w:tbl>
    <w:p/>
    <w:p>
      <w:r>
        <w:rPr>
          <w:rFonts w:ascii="Calibri" w:hAnsi="Calibri"/>
          <w:b w:val="0"/>
          <w:i w:val="0"/>
          <w:color w:val="16202E"/>
          <w:sz w:val="22"/>
        </w:rPr>
        <w:t xml:space="preserve">Three decisions come </w:t>
      </w:r>
      <w:r>
        <w:rPr>
          <w:rFonts w:ascii="Calibri" w:hAnsi="Calibri"/>
          <w:b/>
          <w:i w:val="0"/>
          <w:color w:val="16202E"/>
          <w:sz w:val="22"/>
        </w:rPr>
        <w:t>before</w:t>
      </w:r>
      <w:r>
        <w:rPr>
          <w:rFonts w:ascii="Calibri" w:hAnsi="Calibri"/>
          <w:b w:val="0"/>
          <w:i w:val="0"/>
          <w:color w:val="16202E"/>
          <w:sz w:val="22"/>
        </w:rPr>
        <w:t xml:space="preserve"> writing a single line: for whom, to do what, and around what. Each constrains the next. Skipping them does not save time — it moves the time to the rewrite.</w:t>
      </w:r>
    </w:p>
    <w:p>
      <w:pPr>
        <w:pStyle w:val="Heading1"/>
        <w:spacing w:before="160" w:after="40"/>
        <w:pBdr>
          <w:bottom w:val="single" w:sz="6" w:space="2" w:color="C2A14D"/>
        </w:pBdr>
      </w:pPr>
      <w:r>
        <w:rPr>
          <w:rFonts w:ascii="Calibri" w:hAnsi="Calibri"/>
          <w:b/>
          <w:color w:val="1B3A5B"/>
          <w:sz w:val="28"/>
        </w:rPr>
        <w:t>1. The audience, first</w:t>
      </w:r>
    </w:p>
    <w:p>
      <w:r>
        <w:rPr>
          <w:rFonts w:ascii="Calibri" w:hAnsi="Calibri"/>
          <w:b w:val="0"/>
          <w:i w:val="0"/>
          <w:color w:val="16202E"/>
          <w:sz w:val="22"/>
        </w:rPr>
        <w:t xml:space="preserve">Until you know who is learning, you can neither set a reachable objective nor judge whether a through-line will land. A useful audience is described by its </w:t>
      </w:r>
      <w:r>
        <w:rPr>
          <w:rFonts w:ascii="Calibri" w:hAnsi="Calibri"/>
          <w:b/>
          <w:i w:val="0"/>
          <w:color w:val="16202E"/>
          <w:sz w:val="22"/>
        </w:rPr>
        <w:t>actual prerequisites</w:t>
      </w:r>
      <w:r>
        <w:rPr>
          <w:rFonts w:ascii="Calibri" w:hAnsi="Calibri"/>
          <w:b w:val="0"/>
          <w:i w:val="0"/>
          <w:color w:val="16202E"/>
          <w:sz w:val="22"/>
        </w:rPr>
        <w:t xml:space="preserve">, its </w:t>
      </w:r>
      <w:r>
        <w:rPr>
          <w:rFonts w:ascii="Calibri" w:hAnsi="Calibri"/>
          <w:b/>
          <w:i w:val="0"/>
          <w:color w:val="16202E"/>
          <w:sz w:val="22"/>
        </w:rPr>
        <w:t>available time</w:t>
      </w:r>
      <w:r>
        <w:rPr>
          <w:rFonts w:ascii="Calibri" w:hAnsi="Calibri"/>
          <w:b w:val="0"/>
          <w:i w:val="0"/>
          <w:color w:val="16202E"/>
          <w:sz w:val="22"/>
        </w:rPr>
        <w:t xml:space="preserve"> and its </w:t>
      </w:r>
      <w:r>
        <w:rPr>
          <w:rFonts w:ascii="Calibri" w:hAnsi="Calibri"/>
          <w:b/>
          <w:i w:val="0"/>
          <w:color w:val="16202E"/>
          <w:sz w:val="22"/>
        </w:rPr>
        <w:t>practical constraints</w:t>
      </w:r>
      <w:r>
        <w:rPr>
          <w:rFonts w:ascii="Calibri" w:hAnsi="Calibri"/>
          <w:b w:val="0"/>
          <w:i w:val="0"/>
          <w:color w:val="16202E"/>
          <w:sz w:val="22"/>
        </w:rPr>
        <w:t>. The third is the forgotten one, and often the decisive one: a learner on a commute will not watch a twenty-minute video.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FAF3E6"/>
          </w:tcPr>
          <w:p>
            <w:r/>
            <w:r>
              <w:rPr>
                <w:rFonts w:ascii="Calibri" w:hAnsi="Calibri"/>
                <w:b/>
                <w:color w:val="C98A2B"/>
                <w:sz w:val="21"/>
              </w:rPr>
              <w:t>“Master's students” describes nobody</w:t>
            </w:r>
          </w:p>
          <w:p>
            <w:r>
              <w:rPr>
                <w:rFonts w:ascii="Calibri" w:hAnsi="Calibri"/>
                <w:b w:val="0"/>
                <w:i w:val="0"/>
                <w:color w:val="16202E"/>
                <w:sz w:val="20"/>
              </w:rPr>
              <w:t>A degree label supports no decision. Write the profile down at the top of the syllabus: it will settle every difficult decision later.</w:t>
            </w:r>
          </w:p>
        </w:tc>
      </w:tr>
    </w:tbl>
    <w:p/>
    <w:p>
      <w:pPr>
        <w:pStyle w:val="Heading1"/>
        <w:spacing w:before="160" w:after="40"/>
        <w:pBdr>
          <w:bottom w:val="single" w:sz="6" w:space="2" w:color="C2A14D"/>
        </w:pBdr>
      </w:pPr>
      <w:r>
        <w:rPr>
          <w:rFonts w:ascii="Calibri" w:hAnsi="Calibri"/>
          <w:b/>
          <w:color w:val="1B3A5B"/>
          <w:sz w:val="28"/>
        </w:rPr>
        <w:t>2. Objectives you can verify</w:t>
      </w:r>
    </w:p>
    <w:p>
      <w:r>
        <w:rPr>
          <w:rFonts w:ascii="Calibri" w:hAnsi="Calibri"/>
          <w:b w:val="0"/>
          <w:i w:val="0"/>
          <w:color w:val="16202E"/>
          <w:sz w:val="22"/>
        </w:rPr>
        <w:t xml:space="preserve">An objective states what the learner will be able to </w:t>
      </w:r>
      <w:r>
        <w:rPr>
          <w:rFonts w:ascii="Calibri" w:hAnsi="Calibri"/>
          <w:b/>
          <w:i w:val="0"/>
          <w:color w:val="16202E"/>
          <w:sz w:val="22"/>
        </w:rPr>
        <w:t>do</w:t>
      </w:r>
      <w:r>
        <w:rPr>
          <w:rFonts w:ascii="Calibri" w:hAnsi="Calibri"/>
          <w:b w:val="0"/>
          <w:i w:val="0"/>
          <w:color w:val="16202E"/>
          <w:sz w:val="22"/>
        </w:rPr>
        <w:t>, not what they will have “seen” or “understood”. The difference decides whether you can assess at all. The test: if you cannot picture the exercise that would prove it reached, it is badly written.</w:t>
      </w:r>
    </w:p>
    <w:p>
      <w:pPr>
        <w:pStyle w:val="Heading1"/>
        <w:spacing w:before="160" w:after="40"/>
        <w:pBdr>
          <w:bottom w:val="single" w:sz="6" w:space="2" w:color="C2A14D"/>
        </w:pBdr>
      </w:pPr>
      <w:r>
        <w:rPr>
          <w:rFonts w:ascii="Calibri" w:hAnsi="Calibri"/>
          <w:b/>
          <w:color w:val="1B3A5B"/>
          <w:sz w:val="28"/>
        </w:rPr>
        <w:t>3. The through-line</w:t>
      </w:r>
    </w:p>
    <w:p>
      <w:r>
        <w:rPr>
          <w:rFonts w:ascii="Calibri" w:hAnsi="Calibri"/>
          <w:b w:val="0"/>
          <w:i w:val="0"/>
          <w:color w:val="16202E"/>
          <w:sz w:val="22"/>
        </w:rPr>
        <w:t>A case, a project or a scenario running across the whole course. It answers in advance the question asked at every chapter: “what will this be used for?”. It is also the arbiter on the day you must cut: what does not serve it is what you can do without.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FAF5E6"/>
          </w:tcPr>
          <w:p>
            <w:r/>
            <w:r>
              <w:rPr>
                <w:rFonts w:ascii="Calibri" w:hAnsi="Calibri"/>
                <w:b/>
                <w:color w:val="9C7F33"/>
                <w:sz w:val="24"/>
              </w:rPr>
              <w:t>Key takeaways</w:t>
            </w:r>
          </w:p>
          <w:p>
            <w:r>
              <w:rPr>
                <w:rFonts w:ascii="Calibri" w:hAnsi="Calibri"/>
                <w:b w:val="0"/>
                <w:i w:val="0"/>
                <w:color w:val="16202E"/>
                <w:sz w:val="20"/>
              </w:rPr>
              <w:t>•  Three decisions, in order: for whom, to do what, around what.</w:t>
            </w:r>
          </w:p>
          <w:p>
            <w:r>
              <w:rPr>
                <w:rFonts w:ascii="Calibri" w:hAnsi="Calibri"/>
                <w:b w:val="0"/>
                <w:i w:val="0"/>
                <w:color w:val="16202E"/>
                <w:sz w:val="20"/>
              </w:rPr>
              <w:t>•  An audience is described by its constraints, not by its degree.</w:t>
            </w:r>
          </w:p>
          <w:p>
            <w:r>
              <w:rPr>
                <w:rFonts w:ascii="Calibri" w:hAnsi="Calibri"/>
                <w:b w:val="0"/>
                <w:i w:val="0"/>
                <w:color w:val="16202E"/>
                <w:sz w:val="20"/>
              </w:rPr>
              <w:t>•  An objective is verifiable or it is nothing.</w:t>
            </w:r>
          </w:p>
          <w:p>
            <w:r>
              <w:rPr>
                <w:rFonts w:ascii="Calibri" w:hAnsi="Calibri"/>
                <w:b w:val="0"/>
                <w:i w:val="0"/>
                <w:color w:val="16202E"/>
                <w:sz w:val="20"/>
              </w:rPr>
              <w:t>•  The through-line answers “what is this for” before it is asked.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3C4A5C"/>
        <w:sz w:val="16"/>
      </w:rPr>
      <w:t>Mohamed EL AFRIT — CC BY 4.0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