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9C7F33"/>
          <w:sz w:val="20"/>
        </w:rPr>
        <w:t>POLYCOPIÉ DE SYNTHÈSE — CHAPITRE 1</w:t>
      </w:r>
    </w:p>
    <w:p>
      <w:r>
        <w:rPr>
          <w:rFonts w:ascii="Calibri" w:hAnsi="Calibri"/>
          <w:b/>
          <w:color w:val="1B3A5B"/>
          <w:sz w:val="40"/>
        </w:rPr>
        <w:t>Cadrer son cours</w:t>
      </w:r>
    </w:p>
    <w:p>
      <w:r>
        <w:rPr>
          <w:rFonts w:ascii="Calibri" w:hAnsi="Calibri"/>
          <w:i/>
          <w:color w:val="3C4A5C"/>
          <w:sz w:val="22"/>
        </w:rPr>
        <w:t>Polycopié de synthèse — Cours-démo « Concevoir un cours en ligne »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4F6F9"/>
          </w:tcPr>
          <w:p>
            <w:r/>
            <w:r>
              <w:rPr>
                <w:rFonts w:ascii="Calibri" w:hAnsi="Calibri"/>
                <w:b/>
                <w:color w:val="1B3A5B"/>
                <w:sz w:val="22"/>
              </w:rPr>
              <w:t>Sommaire</w:t>
            </w:r>
          </w:p>
          <w:p>
            <w:r>
              <w:rPr>
                <w:rFonts w:ascii="Calibri" w:hAnsi="Calibri"/>
                <w:color w:val="3C4A5C"/>
                <w:sz w:val="20"/>
              </w:rPr>
              <w:t>•  1. Le public, en premier</w:t>
            </w:r>
          </w:p>
          <w:p>
            <w:r>
              <w:rPr>
                <w:rFonts w:ascii="Calibri" w:hAnsi="Calibri"/>
                <w:color w:val="3C4A5C"/>
                <w:sz w:val="20"/>
              </w:rPr>
              <w:t>•  2. Des objectifs qu'on peut vérifier</w:t>
            </w:r>
          </w:p>
          <w:p>
            <w:r>
              <w:rPr>
                <w:rFonts w:ascii="Calibri" w:hAnsi="Calibri"/>
                <w:color w:val="3C4A5C"/>
                <w:sz w:val="20"/>
              </w:rPr>
              <w:t>•  3. Le fil rouge</w:t>
            </w:r>
          </w:p>
        </w:tc>
      </w:tr>
    </w:tbl>
    <w:p/>
    <w:p>
      <w:r>
        <w:rPr>
          <w:rFonts w:ascii="Calibri" w:hAnsi="Calibri"/>
          <w:b w:val="0"/>
          <w:i w:val="0"/>
          <w:color w:val="16202E"/>
          <w:sz w:val="22"/>
        </w:rPr>
        <w:t xml:space="preserve">Trois décisions se prennent </w:t>
      </w:r>
      <w:r>
        <w:rPr>
          <w:rFonts w:ascii="Calibri" w:hAnsi="Calibri"/>
          <w:b/>
          <w:i w:val="0"/>
          <w:color w:val="16202E"/>
          <w:sz w:val="22"/>
        </w:rPr>
        <w:t>avant</w:t>
      </w:r>
      <w:r>
        <w:rPr>
          <w:rFonts w:ascii="Calibri" w:hAnsi="Calibri"/>
          <w:b w:val="0"/>
          <w:i w:val="0"/>
          <w:color w:val="16202E"/>
          <w:sz w:val="22"/>
        </w:rPr>
        <w:t xml:space="preserve"> d'écrire la première ligne : pour qui, pour quoi faire, et autour de quoi. Chacune contraint la suivante. Les sauter ne fait pas gagner de temps — cela le déplace vers la refonte.</w:t>
      </w:r>
    </w:p>
    <w:p>
      <w:pPr>
        <w:pStyle w:val="Heading1"/>
        <w:spacing w:before="160" w:after="40"/>
        <w:pBdr>
          <w:bottom w:val="single" w:sz="6" w:space="2" w:color="C2A14D"/>
        </w:pBdr>
      </w:pPr>
      <w:r>
        <w:rPr>
          <w:rFonts w:ascii="Calibri" w:hAnsi="Calibri"/>
          <w:b/>
          <w:color w:val="1B3A5B"/>
          <w:sz w:val="28"/>
        </w:rPr>
        <w:t>1. Le public, en premier</w:t>
      </w:r>
    </w:p>
    <w:p>
      <w:r>
        <w:rPr>
          <w:rFonts w:ascii="Calibri" w:hAnsi="Calibri"/>
          <w:b w:val="0"/>
          <w:i w:val="0"/>
          <w:color w:val="16202E"/>
          <w:sz w:val="22"/>
        </w:rPr>
        <w:t xml:space="preserve">Tant qu'on ignore qui apprend, on ne peut ni fixer un objectif atteignable, ni juger si un fil rouge parlera. Un public utile se décrit par ses </w:t>
      </w:r>
      <w:r>
        <w:rPr>
          <w:rFonts w:ascii="Calibri" w:hAnsi="Calibri"/>
          <w:b/>
          <w:i w:val="0"/>
          <w:color w:val="16202E"/>
          <w:sz w:val="22"/>
        </w:rPr>
        <w:t>prérequis réellement acquis</w:t>
      </w:r>
      <w:r>
        <w:rPr>
          <w:rFonts w:ascii="Calibri" w:hAnsi="Calibri"/>
          <w:b w:val="0"/>
          <w:i w:val="0"/>
          <w:color w:val="16202E"/>
          <w:sz w:val="22"/>
        </w:rPr>
        <w:t xml:space="preserve">, son </w:t>
      </w:r>
      <w:r>
        <w:rPr>
          <w:rFonts w:ascii="Calibri" w:hAnsi="Calibri"/>
          <w:b/>
          <w:i w:val="0"/>
          <w:color w:val="16202E"/>
          <w:sz w:val="22"/>
        </w:rPr>
        <w:t>temps disponible</w:t>
      </w:r>
      <w:r>
        <w:rPr>
          <w:rFonts w:ascii="Calibri" w:hAnsi="Calibri"/>
          <w:b w:val="0"/>
          <w:i w:val="0"/>
          <w:color w:val="16202E"/>
          <w:sz w:val="22"/>
        </w:rPr>
        <w:t xml:space="preserve"> et ses </w:t>
      </w:r>
      <w:r>
        <w:rPr>
          <w:rFonts w:ascii="Calibri" w:hAnsi="Calibri"/>
          <w:b/>
          <w:i w:val="0"/>
          <w:color w:val="16202E"/>
          <w:sz w:val="22"/>
        </w:rPr>
        <w:t>contraintes matérielles</w:t>
      </w:r>
      <w:r>
        <w:rPr>
          <w:rFonts w:ascii="Calibri" w:hAnsi="Calibri"/>
          <w:b w:val="0"/>
          <w:i w:val="0"/>
          <w:color w:val="16202E"/>
          <w:sz w:val="22"/>
        </w:rPr>
        <w:t>. C'est la troisième qu'on oublie, et souvent la plus déterminante : un apprenant qui suit le cours dans les transports ne regardera pas une vidéo de vingt minutes.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AF3E6"/>
          </w:tcPr>
          <w:p>
            <w:r/>
            <w:r>
              <w:rPr>
                <w:rFonts w:ascii="Calibri" w:hAnsi="Calibri"/>
                <w:b/>
                <w:color w:val="C98A2B"/>
                <w:sz w:val="21"/>
              </w:rPr>
              <w:t>« Étudiants de master » ne décrit personne</w:t>
            </w:r>
          </w:p>
          <w:p>
            <w:r>
              <w:rPr>
                <w:rFonts w:ascii="Calibri" w:hAnsi="Calibri"/>
                <w:b w:val="0"/>
                <w:i w:val="0"/>
                <w:color w:val="16202E"/>
                <w:sz w:val="20"/>
              </w:rPr>
              <w:t>Une étiquette de diplôme ne permet aucune décision. Écrivez le profil noir sur blanc en tête du syllabus : il servira d'arbitre chaque fois qu'une décision sera difficile.</w:t>
            </w:r>
          </w:p>
        </w:tc>
      </w:tr>
    </w:tbl>
    <w:p/>
    <w:p>
      <w:pPr>
        <w:pStyle w:val="Heading1"/>
        <w:spacing w:before="160" w:after="40"/>
        <w:pBdr>
          <w:bottom w:val="single" w:sz="6" w:space="2" w:color="C2A14D"/>
        </w:pBdr>
      </w:pPr>
      <w:r>
        <w:rPr>
          <w:rFonts w:ascii="Calibri" w:hAnsi="Calibri"/>
          <w:b/>
          <w:color w:val="1B3A5B"/>
          <w:sz w:val="28"/>
        </w:rPr>
        <w:t>2. Des objectifs qu'on peut vérifier</w:t>
      </w:r>
    </w:p>
    <w:p>
      <w:r>
        <w:rPr>
          <w:rFonts w:ascii="Calibri" w:hAnsi="Calibri"/>
          <w:b w:val="0"/>
          <w:i w:val="0"/>
          <w:color w:val="16202E"/>
          <w:sz w:val="22"/>
        </w:rPr>
        <w:t xml:space="preserve">Un objectif dit ce que l'apprenant sera capable de </w:t>
      </w:r>
      <w:r>
        <w:rPr>
          <w:rFonts w:ascii="Calibri" w:hAnsi="Calibri"/>
          <w:b/>
          <w:i w:val="0"/>
          <w:color w:val="16202E"/>
          <w:sz w:val="22"/>
        </w:rPr>
        <w:t>faire</w:t>
      </w:r>
      <w:r>
        <w:rPr>
          <w:rFonts w:ascii="Calibri" w:hAnsi="Calibri"/>
          <w:b w:val="0"/>
          <w:i w:val="0"/>
          <w:color w:val="16202E"/>
          <w:sz w:val="22"/>
        </w:rPr>
        <w:t>, pas ce qu'il aura « vu » ou « compris ». La différence décide si vous pourrez évaluer. Le test : si vous ne pouvez pas imaginer l'exercice qui prouverait l'objectif atteint, il est mal écrit.</w:t>
      </w:r>
    </w:p>
    <w:p>
      <w:pPr>
        <w:pStyle w:val="Heading1"/>
        <w:spacing w:before="160" w:after="40"/>
        <w:pBdr>
          <w:bottom w:val="single" w:sz="6" w:space="2" w:color="C2A14D"/>
        </w:pBdr>
      </w:pPr>
      <w:r>
        <w:rPr>
          <w:rFonts w:ascii="Calibri" w:hAnsi="Calibri"/>
          <w:b/>
          <w:color w:val="1B3A5B"/>
          <w:sz w:val="28"/>
        </w:rPr>
        <w:t>3. Le fil rouge</w:t>
      </w:r>
    </w:p>
    <w:p>
      <w:r>
        <w:rPr>
          <w:rFonts w:ascii="Calibri" w:hAnsi="Calibri"/>
          <w:b w:val="0"/>
          <w:i w:val="0"/>
          <w:color w:val="16202E"/>
          <w:sz w:val="22"/>
        </w:rPr>
        <w:t>Un cas, un projet ou un scénario qui traverse tout le cours. Il répond par avance à la question posée à chaque chapitre : « à quoi cela va-t-il me servir ? ». Il sert aussi d'arbitre le jour où il faut couper : ce qui ne le sert pas est ce dont on peut se passer.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AF5E6"/>
          </w:tcPr>
          <w:p>
            <w:r/>
            <w:r>
              <w:rPr>
                <w:rFonts w:ascii="Calibri" w:hAnsi="Calibri"/>
                <w:b/>
                <w:color w:val="9C7F33"/>
                <w:sz w:val="24"/>
              </w:rPr>
              <w:t>À retenir</w:t>
            </w:r>
          </w:p>
          <w:p>
            <w:r>
              <w:rPr>
                <w:rFonts w:ascii="Calibri" w:hAnsi="Calibri"/>
                <w:b w:val="0"/>
                <w:i w:val="0"/>
                <w:color w:val="16202E"/>
                <w:sz w:val="20"/>
              </w:rPr>
              <w:t>•  Trois décisions, dans l'ordre : pour qui, pour quoi faire, autour de quoi.</w:t>
            </w:r>
          </w:p>
          <w:p>
            <w:r>
              <w:rPr>
                <w:rFonts w:ascii="Calibri" w:hAnsi="Calibri"/>
                <w:b w:val="0"/>
                <w:i w:val="0"/>
                <w:color w:val="16202E"/>
                <w:sz w:val="20"/>
              </w:rPr>
              <w:t>•  Un public se décrit par ses contraintes, pas par son diplôme.</w:t>
            </w:r>
          </w:p>
          <w:p>
            <w:r>
              <w:rPr>
                <w:rFonts w:ascii="Calibri" w:hAnsi="Calibri"/>
                <w:b w:val="0"/>
                <w:i w:val="0"/>
                <w:color w:val="16202E"/>
                <w:sz w:val="20"/>
              </w:rPr>
              <w:t>•  Un objectif se vérifie ou n'existe pas.</w:t>
            </w:r>
          </w:p>
          <w:p>
            <w:r>
              <w:rPr>
                <w:rFonts w:ascii="Calibri" w:hAnsi="Calibri"/>
                <w:b w:val="0"/>
                <w:i w:val="0"/>
                <w:color w:val="16202E"/>
                <w:sz w:val="20"/>
              </w:rPr>
              <w:t>•  Le fil rouge répond à « à quoi cela sert » avant qu'on le demande.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3C4A5C"/>
        <w:sz w:val="16"/>
      </w:rPr>
      <w:t>Mohamed EL AFRIT — CC BY 4.0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