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9C7F33"/>
          <w:sz w:val="20"/>
        </w:rPr>
        <w:t>POLYCOPIÉ DE SYNTHÈSE — CHAPITRE 2</w:t>
      </w:r>
    </w:p>
    <w:p>
      <w:r>
        <w:rPr>
          <w:rFonts w:ascii="Calibri" w:hAnsi="Calibri"/>
          <w:b/>
          <w:color w:val="1B3A5B"/>
          <w:sz w:val="40"/>
        </w:rPr>
        <w:t>Structurer le contenu</w:t>
      </w:r>
    </w:p>
    <w:p>
      <w:r>
        <w:rPr>
          <w:rFonts w:ascii="Calibri" w:hAnsi="Calibri"/>
          <w:i/>
          <w:color w:val="3C4A5C"/>
          <w:sz w:val="22"/>
        </w:rPr>
        <w:t>Polycopié de synthèse — Cours-démo « Concevoir un cours en ligne »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4F6F9"/>
          </w:tcPr>
          <w:p>
            <w:r/>
            <w:r>
              <w:rPr>
                <w:rFonts w:ascii="Calibri" w:hAnsi="Calibri"/>
                <w:b/>
                <w:color w:val="1B3A5B"/>
                <w:sz w:val="22"/>
              </w:rPr>
              <w:t>Sommaire</w:t>
            </w:r>
          </w:p>
          <w:p>
            <w:r>
              <w:rPr>
                <w:rFonts w:ascii="Calibri" w:hAnsi="Calibri"/>
                <w:color w:val="3C4A5C"/>
                <w:sz w:val="20"/>
              </w:rPr>
              <w:t>•  1. La séquence, unité réelle d'apprentissage</w:t>
            </w:r>
          </w:p>
          <w:p>
            <w:r>
              <w:rPr>
                <w:rFonts w:ascii="Calibri" w:hAnsi="Calibri"/>
                <w:color w:val="3C4A5C"/>
                <w:sz w:val="20"/>
              </w:rPr>
              <w:t>•  2. Découper n'est pas hacher</w:t>
            </w:r>
          </w:p>
          <w:p>
            <w:r>
              <w:rPr>
                <w:rFonts w:ascii="Calibri" w:hAnsi="Calibri"/>
                <w:color w:val="3C4A5C"/>
                <w:sz w:val="20"/>
              </w:rPr>
              <w:t>•  3. L'ordre des prérequis, pas celui de l'importance</w:t>
            </w:r>
          </w:p>
        </w:tc>
      </w:tr>
    </w:tbl>
    <w:p/>
    <w:p>
      <w:r>
        <w:rPr>
          <w:rFonts w:ascii="Calibri" w:hAnsi="Calibri"/>
          <w:b w:val="0"/>
          <w:i w:val="0"/>
          <w:color w:val="16202E"/>
          <w:sz w:val="22"/>
        </w:rPr>
        <w:t>Le cadrage a dit pour qui et pour quoi faire. Reste à décider dans quel ordre, et par quels morceaux. C'est là que se joue la différence entre un cours qu'on finit et un cours qu'on abandonne au troisième chapitre.</w:t>
      </w:r>
    </w:p>
    <w:p>
      <w:pPr>
        <w:pStyle w:val="Heading1"/>
        <w:spacing w:before="160" w:after="40"/>
        <w:pBdr>
          <w:bottom w:val="single" w:sz="6" w:space="2" w:color="C2A14D"/>
        </w:pBdr>
      </w:pPr>
      <w:r>
        <w:rPr>
          <w:rFonts w:ascii="Calibri" w:hAnsi="Calibri"/>
          <w:b/>
          <w:color w:val="1B3A5B"/>
          <w:sz w:val="28"/>
        </w:rPr>
        <w:t>1. La séquence, unité réelle d'apprentissage</w:t>
      </w:r>
    </w:p>
    <w:p>
      <w:r>
        <w:rPr>
          <w:rFonts w:ascii="Calibri" w:hAnsi="Calibri"/>
          <w:b w:val="0"/>
          <w:i w:val="0"/>
          <w:color w:val="16202E"/>
          <w:sz w:val="22"/>
        </w:rPr>
        <w:t xml:space="preserve">Un chapitre est une unité de rangement ; ce que l'apprenant traverse, ce sont des </w:t>
      </w:r>
      <w:r>
        <w:rPr>
          <w:rFonts w:ascii="Calibri" w:hAnsi="Calibri"/>
          <w:b/>
          <w:i w:val="0"/>
          <w:color w:val="16202E"/>
          <w:sz w:val="22"/>
        </w:rPr>
        <w:t>séquences</w:t>
      </w:r>
      <w:r>
        <w:rPr>
          <w:rFonts w:ascii="Calibri" w:hAnsi="Calibri"/>
          <w:b w:val="0"/>
          <w:i w:val="0"/>
          <w:color w:val="16202E"/>
          <w:sz w:val="22"/>
        </w:rPr>
        <w:t xml:space="preserve">. Une séquence utile porte trois éléments : une </w:t>
      </w:r>
      <w:r>
        <w:rPr>
          <w:rFonts w:ascii="Calibri" w:hAnsi="Calibri"/>
          <w:b/>
          <w:i w:val="0"/>
          <w:color w:val="16202E"/>
          <w:sz w:val="22"/>
        </w:rPr>
        <w:t>question</w:t>
      </w:r>
      <w:r>
        <w:rPr>
          <w:rFonts w:ascii="Calibri" w:hAnsi="Calibri"/>
          <w:b w:val="0"/>
          <w:i w:val="0"/>
          <w:color w:val="16202E"/>
          <w:sz w:val="22"/>
        </w:rPr>
        <w:t xml:space="preserve"> qui la motive, un </w:t>
      </w:r>
      <w:r>
        <w:rPr>
          <w:rFonts w:ascii="Calibri" w:hAnsi="Calibri"/>
          <w:b/>
          <w:i w:val="0"/>
          <w:color w:val="16202E"/>
          <w:sz w:val="22"/>
        </w:rPr>
        <w:t>contenu</w:t>
      </w:r>
      <w:r>
        <w:rPr>
          <w:rFonts w:ascii="Calibri" w:hAnsi="Calibri"/>
          <w:b w:val="0"/>
          <w:i w:val="0"/>
          <w:color w:val="16202E"/>
          <w:sz w:val="22"/>
        </w:rPr>
        <w:t xml:space="preserve"> qui y répond, une </w:t>
      </w:r>
      <w:r>
        <w:rPr>
          <w:rFonts w:ascii="Calibri" w:hAnsi="Calibri"/>
          <w:b/>
          <w:i w:val="0"/>
          <w:color w:val="16202E"/>
          <w:sz w:val="22"/>
        </w:rPr>
        <w:t>vérification</w:t>
      </w:r>
      <w:r>
        <w:rPr>
          <w:rFonts w:ascii="Calibri" w:hAnsi="Calibri"/>
          <w:b w:val="0"/>
          <w:i w:val="0"/>
          <w:color w:val="16202E"/>
          <w:sz w:val="22"/>
        </w:rPr>
        <w:t xml:space="preserve"> qui prouve qu'elle a porté. C'est presque toujours la troisième qui manque — c'est la plus difficile à imaginer.</w:t>
      </w:r>
    </w:p>
    <w:p>
      <w:pPr>
        <w:pStyle w:val="Heading1"/>
        <w:spacing w:before="160" w:after="40"/>
        <w:pBdr>
          <w:bottom w:val="single" w:sz="6" w:space="2" w:color="C2A14D"/>
        </w:pBdr>
      </w:pPr>
      <w:r>
        <w:rPr>
          <w:rFonts w:ascii="Calibri" w:hAnsi="Calibri"/>
          <w:b/>
          <w:color w:val="1B3A5B"/>
          <w:sz w:val="28"/>
        </w:rPr>
        <w:t>2. Découper n'est pas hacher</w:t>
      </w:r>
    </w:p>
    <w:p>
      <w:r>
        <w:rPr>
          <w:rFonts w:ascii="Calibri" w:hAnsi="Calibri"/>
          <w:b w:val="0"/>
          <w:i w:val="0"/>
          <w:color w:val="16202E"/>
          <w:sz w:val="22"/>
        </w:rPr>
        <w:t>Une séquence de cinq minutes qui ne se suffit pas à elle-même n'est pas du micro-apprentissage : c'est un chapitre coupé au milieu. Le test : si l'apprenant s'arrête là, en ressort-il avec quelque chose d'utilisable ?</w:t>
      </w:r>
    </w:p>
    <w:p>
      <w:pPr>
        <w:pStyle w:val="Heading1"/>
        <w:spacing w:before="160" w:after="40"/>
        <w:pBdr>
          <w:bottom w:val="single" w:sz="6" w:space="2" w:color="C2A14D"/>
        </w:pBdr>
      </w:pPr>
      <w:r>
        <w:rPr>
          <w:rFonts w:ascii="Calibri" w:hAnsi="Calibri"/>
          <w:b/>
          <w:color w:val="1B3A5B"/>
          <w:sz w:val="28"/>
        </w:rPr>
        <w:t>3. L'ordre des prérequis, pas celui de l'importance</w:t>
      </w:r>
    </w:p>
    <w:p>
      <w:r>
        <w:rPr>
          <w:rFonts w:ascii="Calibri" w:hAnsi="Calibri"/>
          <w:b w:val="0"/>
          <w:i w:val="0"/>
          <w:color w:val="16202E"/>
          <w:sz w:val="22"/>
        </w:rPr>
        <w:t>L'erreur la plus commune est d'ouvrir par ce qui compte le plus — donc par ce qui suppose tout le reste acquis. Listez vos notions, tracez une flèche de chacune vers celles qu'elle suppose : les notions sans flèche entrante sont vos points de départ. Un cycle signale une notion mal découpée.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9F5EE"/>
          </w:tcPr>
          <w:p>
            <w:r/>
            <w:r>
              <w:rPr>
                <w:rFonts w:ascii="Calibri" w:hAnsi="Calibri"/>
                <w:b/>
                <w:color w:val="2F8F5B"/>
                <w:sz w:val="21"/>
              </w:rPr>
              <w:t>Alterner plutôt que doser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L'équilibre entre théorie et pratique n'est pas une question de proportions mais d'alternance : une notion, son application, la notion suivante.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AF5E6"/>
          </w:tcPr>
          <w:p>
            <w:r/>
            <w:r>
              <w:rPr>
                <w:rFonts w:ascii="Calibri" w:hAnsi="Calibri"/>
                <w:b/>
                <w:color w:val="9C7F33"/>
                <w:sz w:val="24"/>
              </w:rPr>
              <w:t>À retenir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Une séquence : une question, un contenu, une vérification.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Une séquence courte doit se suffire à elle-même.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L'ordre juste est celui des prérequis.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Ce qui ne sert pas le fil rouge est ce qu'on coupe en premier.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3C4A5C"/>
        <w:sz w:val="16"/>
      </w:rPr>
      <w:t>Mohamed EL AFRIT —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