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9C7F33"/>
          <w:sz w:val="20"/>
        </w:rPr>
        <w:t>SUMMARY HANDOUT — CHAPTER 3</w:t>
      </w:r>
    </w:p>
    <w:p>
      <w:r>
        <w:rPr>
          <w:rFonts w:ascii="Calibri" w:hAnsi="Calibri"/>
          <w:b/>
          <w:color w:val="1B3A5B"/>
          <w:sz w:val="40"/>
        </w:rPr>
        <w:t>Creating the resources</w:t>
      </w:r>
    </w:p>
    <w:p>
      <w:r>
        <w:rPr>
          <w:rFonts w:ascii="Calibri" w:hAnsi="Calibri"/>
          <w:i/>
          <w:color w:val="3C4A5C"/>
          <w:sz w:val="22"/>
        </w:rPr>
        <w:t>Summary handout — Demo course “Designing an online course”</w:t>
      </w:r>
    </w:p>
    <w:tbl>
      <w:tblPr>
        <w:tblW w:type="auto" w:w="0"/>
        <w:tblLayout w:type="autofit"/>
        <w:tblLook w:firstColumn="1" w:firstRow="1" w:lastColumn="0" w:lastRow="0" w:noHBand="0" w:noVBand="1" w:val="04A0"/>
      </w:tblPr>
      <w:tblGrid>
        <w:gridCol w:w="10200"/>
      </w:tblGrid>
      <w:tr>
        <w:tc>
          <w:tcPr>
            <w:tcW w:type="dxa" w:w="10200"/>
            <w:shd w:val="clear" w:color="auto" w:fill="F4F6F9"/>
          </w:tcPr>
          <w:p>
            <w:r/>
            <w:r>
              <w:rPr>
                <w:rFonts w:ascii="Calibri" w:hAnsi="Calibri"/>
                <w:b/>
                <w:color w:val="1B3A5B"/>
                <w:sz w:val="22"/>
              </w:rPr>
              <w:t>Contents</w:t>
            </w:r>
          </w:p>
          <w:p>
            <w:r>
              <w:rPr>
                <w:rFonts w:ascii="Calibri" w:hAnsi="Calibri"/>
                <w:color w:val="3C4A5C"/>
                <w:sz w:val="20"/>
              </w:rPr>
              <w:t>•  1. Format follows intention</w:t>
            </w:r>
          </w:p>
          <w:p>
            <w:r>
              <w:rPr>
                <w:rFonts w:ascii="Calibri" w:hAnsi="Calibri"/>
                <w:color w:val="3C4A5C"/>
                <w:sz w:val="20"/>
              </w:rPr>
              <w:t>•  2. Complementarity, not redundancy</w:t>
            </w:r>
          </w:p>
          <w:p>
            <w:r>
              <w:rPr>
                <w:rFonts w:ascii="Calibri" w:hAnsi="Calibri"/>
                <w:color w:val="3C4A5C"/>
                <w:sz w:val="20"/>
              </w:rPr>
              <w:t>•  3. A written script, then a check</w:t>
            </w:r>
          </w:p>
        </w:tc>
      </w:tr>
    </w:tbl>
    <w:p/>
    <w:p>
      <w:r>
        <w:rPr>
          <w:rFonts w:ascii="Calibri" w:hAnsi="Calibri"/>
          <w:b w:val="0"/>
          <w:i w:val="0"/>
          <w:color w:val="16202E"/>
          <w:sz w:val="22"/>
        </w:rPr>
        <w:t>Text, audio, diagram: three formats, three intentions. Confusing them is expensive — in production time, and in lost attention.</w:t>
      </w:r>
    </w:p>
    <w:p>
      <w:pPr>
        <w:pStyle w:val="Heading1"/>
        <w:spacing w:before="160" w:after="40"/>
        <w:pBdr>
          <w:bottom w:val="single" w:sz="6" w:space="2" w:color="C2A14D"/>
        </w:pBdr>
      </w:pPr>
      <w:r>
        <w:rPr>
          <w:rFonts w:ascii="Calibri" w:hAnsi="Calibri"/>
          <w:b/>
          <w:color w:val="1B3A5B"/>
          <w:sz w:val="28"/>
        </w:rPr>
        <w:t>1. Format follows intention</w:t>
      </w:r>
    </w:p>
    <w:p>
      <w:r>
        <w:rPr>
          <w:rFonts w:ascii="Calibri" w:hAnsi="Calibri"/>
          <w:b/>
          <w:i w:val="0"/>
          <w:color w:val="16202E"/>
          <w:sz w:val="22"/>
        </w:rPr>
        <w:t>Text</w:t>
      </w:r>
      <w:r>
        <w:rPr>
          <w:rFonts w:ascii="Calibri" w:hAnsi="Calibri"/>
          <w:b w:val="0"/>
          <w:i w:val="0"/>
          <w:color w:val="16202E"/>
          <w:sz w:val="22"/>
        </w:rPr>
        <w:t xml:space="preserve"> is for what gets re-read: a definition, a procedure, an exact figure. </w:t>
      </w:r>
      <w:r>
        <w:rPr>
          <w:rFonts w:ascii="Calibri" w:hAnsi="Calibri"/>
          <w:b/>
          <w:i w:val="0"/>
          <w:color w:val="16202E"/>
          <w:sz w:val="22"/>
        </w:rPr>
        <w:t>Audio</w:t>
      </w:r>
      <w:r>
        <w:rPr>
          <w:rFonts w:ascii="Calibri" w:hAnsi="Calibri"/>
          <w:b w:val="0"/>
          <w:i w:val="0"/>
          <w:color w:val="16202E"/>
          <w:sz w:val="22"/>
        </w:rPr>
        <w:t xml:space="preserve"> is for what carries in a voice: an intention, a nuance, an encouragement. A </w:t>
      </w:r>
      <w:r>
        <w:rPr>
          <w:rFonts w:ascii="Calibri" w:hAnsi="Calibri"/>
          <w:b/>
          <w:i w:val="0"/>
          <w:color w:val="16202E"/>
          <w:sz w:val="22"/>
        </w:rPr>
        <w:t>diagram</w:t>
      </w:r>
      <w:r>
        <w:rPr>
          <w:rFonts w:ascii="Calibri" w:hAnsi="Calibri"/>
          <w:b w:val="0"/>
          <w:i w:val="0"/>
          <w:color w:val="16202E"/>
          <w:sz w:val="22"/>
        </w:rPr>
        <w:t xml:space="preserve"> is for what no sentence can hold: a structure, a flow, a proportion. The trap is choosing from the tool you happen to own.</w:t>
      </w:r>
    </w:p>
    <w:p>
      <w:pPr>
        <w:pStyle w:val="Heading1"/>
        <w:spacing w:before="160" w:after="40"/>
        <w:pBdr>
          <w:bottom w:val="single" w:sz="6" w:space="2" w:color="C2A14D"/>
        </w:pBdr>
      </w:pPr>
      <w:r>
        <w:rPr>
          <w:rFonts w:ascii="Calibri" w:hAnsi="Calibri"/>
          <w:b/>
          <w:color w:val="1B3A5B"/>
          <w:sz w:val="28"/>
        </w:rPr>
        <w:t>2. Complementarity, not redundancy</w:t>
      </w:r>
    </w:p>
    <w:p>
      <w:r>
        <w:rPr>
          <w:rFonts w:ascii="Calibri" w:hAnsi="Calibri"/>
          <w:b w:val="0"/>
          <w:i w:val="0"/>
          <w:color w:val="16202E"/>
          <w:sz w:val="22"/>
        </w:rPr>
        <w:t>A diagram repeating its paragraph takes space and tires the reader. A capsule reciting the page adds nothing for those who read it, and replaces nothing for those who did not. Two formats repeating each other are worth less than one well chosen.</w:t>
      </w:r>
    </w:p>
    <w:p>
      <w:pPr>
        <w:pStyle w:val="Heading1"/>
        <w:spacing w:before="160" w:after="40"/>
        <w:pBdr>
          <w:bottom w:val="single" w:sz="6" w:space="2" w:color="C2A14D"/>
        </w:pBdr>
      </w:pPr>
      <w:r>
        <w:rPr>
          <w:rFonts w:ascii="Calibri" w:hAnsi="Calibri"/>
          <w:b/>
          <w:color w:val="1B3A5B"/>
          <w:sz w:val="28"/>
        </w:rPr>
        <w:t>3. A written script, then a check</w:t>
      </w:r>
    </w:p>
    <w:p>
      <w:r>
        <w:rPr>
          <w:rFonts w:ascii="Calibri" w:hAnsi="Calibri"/>
          <w:b w:val="0"/>
          <w:i w:val="0"/>
          <w:color w:val="16202E"/>
          <w:sz w:val="22"/>
        </w:rPr>
        <w:t xml:space="preserve">Production is where courses stall. The workable path: a </w:t>
      </w:r>
      <w:r>
        <w:rPr>
          <w:rFonts w:ascii="Calibri" w:hAnsi="Calibri"/>
          <w:b/>
          <w:i w:val="0"/>
          <w:color w:val="16202E"/>
          <w:sz w:val="22"/>
        </w:rPr>
        <w:t>written script</w:t>
      </w:r>
      <w:r>
        <w:rPr>
          <w:rFonts w:ascii="Calibri" w:hAnsi="Calibri"/>
          <w:b w:val="0"/>
          <w:i w:val="0"/>
          <w:color w:val="16202E"/>
          <w:sz w:val="22"/>
        </w:rPr>
        <w:t xml:space="preserve"> for each resource, with its target duration — that is what you fix, not the recording — then an </w:t>
      </w:r>
      <w:r>
        <w:rPr>
          <w:rFonts w:ascii="Calibri" w:hAnsi="Calibri"/>
          <w:b/>
          <w:i w:val="0"/>
          <w:color w:val="16202E"/>
          <w:sz w:val="22"/>
        </w:rPr>
        <w:t>automatic check</w:t>
      </w:r>
      <w:r>
        <w:rPr>
          <w:rFonts w:ascii="Calibri" w:hAnsi="Calibri"/>
          <w:b w:val="0"/>
          <w:i w:val="0"/>
          <w:color w:val="16202E"/>
          <w:sz w:val="22"/>
        </w:rPr>
        <w:t xml:space="preserve"> before publication. Whatever the check rejects goes aside, never online.</w:t>
      </w:r>
    </w:p>
    <w:tbl>
      <w:tblPr>
        <w:tblW w:type="auto" w:w="0"/>
        <w:tblLayout w:type="autofit"/>
        <w:tblLook w:firstColumn="1" w:firstRow="1" w:lastColumn="0" w:lastRow="0" w:noHBand="0" w:noVBand="1" w:val="04A0"/>
      </w:tblPr>
      <w:tblGrid>
        <w:gridCol w:w="10200"/>
      </w:tblGrid>
      <w:tr>
        <w:tc>
          <w:tcPr>
            <w:tcW w:type="dxa" w:w="10200"/>
            <w:shd w:val="clear" w:color="auto" w:fill="E9F0F7"/>
          </w:tcPr>
          <w:p>
            <w:r/>
            <w:r>
              <w:rPr>
                <w:rFonts w:ascii="Calibri" w:hAnsi="Calibri"/>
                <w:b/>
                <w:color w:val="2F6F9F"/>
                <w:sz w:val="21"/>
              </w:rPr>
              <w:t>Accessibility widens usage</w:t>
            </w:r>
          </w:p>
          <w:p>
            <w:r>
              <w:rPr>
                <w:rFonts w:ascii="Calibri" w:hAnsi="Calibri"/>
                <w:b w:val="0"/>
                <w:i w:val="0"/>
                <w:color w:val="16202E"/>
                <w:sz w:val="20"/>
              </w:rPr>
              <w:t>A transcript serves the deaf person, the traveller without headphones, the one hunting for a word, and the search engine. It is not a favour to a minority: it makes the resource usable in more situations, for everyone.</w:t>
            </w:r>
          </w:p>
        </w:tc>
      </w:tr>
    </w:tbl>
    <w:p/>
    <w:tbl>
      <w:tblPr>
        <w:tblW w:type="auto" w:w="0"/>
        <w:tblLayout w:type="autofit"/>
        <w:tblLook w:firstColumn="1" w:firstRow="1" w:lastColumn="0" w:lastRow="0" w:noHBand="0" w:noVBand="1" w:val="04A0"/>
      </w:tblPr>
      <w:tblGrid>
        <w:gridCol w:w="10200"/>
      </w:tblGrid>
      <w:tr>
        <w:tc>
          <w:tcPr>
            <w:tcW w:type="dxa" w:w="10200"/>
            <w:shd w:val="clear" w:color="auto" w:fill="FAF5E6"/>
          </w:tcPr>
          <w:p>
            <w:r/>
            <w:r>
              <w:rPr>
                <w:rFonts w:ascii="Calibri" w:hAnsi="Calibri"/>
                <w:b/>
                <w:color w:val="9C7F33"/>
                <w:sz w:val="24"/>
              </w:rPr>
              <w:t>Key takeaways</w:t>
            </w:r>
          </w:p>
          <w:p>
            <w:r>
              <w:rPr>
                <w:rFonts w:ascii="Calibri" w:hAnsi="Calibri"/>
                <w:b w:val="0"/>
                <w:i w:val="0"/>
                <w:color w:val="16202E"/>
                <w:sz w:val="20"/>
              </w:rPr>
              <w:t>•  Format follows intention, not the tool at hand.</w:t>
            </w:r>
          </w:p>
          <w:p>
            <w:r>
              <w:rPr>
                <w:rFonts w:ascii="Calibri" w:hAnsi="Calibri"/>
                <w:b w:val="0"/>
                <w:i w:val="0"/>
                <w:color w:val="16202E"/>
                <w:sz w:val="20"/>
              </w:rPr>
              <w:t>•  Duplication loses twice: time, and attention.</w:t>
            </w:r>
          </w:p>
          <w:p>
            <w:r>
              <w:rPr>
                <w:rFonts w:ascii="Calibri" w:hAnsi="Calibri"/>
                <w:b w:val="0"/>
                <w:i w:val="0"/>
                <w:color w:val="16202E"/>
                <w:sz w:val="20"/>
              </w:rPr>
              <w:t>•  You fix the script, never the recording.</w:t>
            </w:r>
          </w:p>
          <w:p>
            <w:r>
              <w:rPr>
                <w:rFonts w:ascii="Calibri" w:hAnsi="Calibri"/>
                <w:b w:val="0"/>
                <w:i w:val="0"/>
                <w:color w:val="16202E"/>
                <w:sz w:val="20"/>
              </w:rPr>
              <w:t>•  Accessibility makes the resource better for everyone.</w:t>
            </w:r>
          </w:p>
        </w:tc>
      </w:tr>
    </w:tbl>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3C4A5C"/>
        <w:sz w:val="16"/>
      </w:rPr>
      <w:t>Mohamed EL AFRIT — CC 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