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368E" w14:textId="4677AE1E" w:rsidR="00CF5445" w:rsidRDefault="00CF5445" w:rsidP="00CF5445">
      <w:pPr>
        <w:pStyle w:val="Nadpis1"/>
      </w:pPr>
      <w:r w:rsidRPr="00CF5445">
        <w:t>Přesnost (</w:t>
      </w:r>
      <w:proofErr w:type="spellStart"/>
      <w:r w:rsidRPr="00CF5445">
        <w:t>Accuracy</w:t>
      </w:r>
      <w:proofErr w:type="spellEnd"/>
      <w:r w:rsidRPr="00CF5445">
        <w:t xml:space="preserve">) </w:t>
      </w:r>
    </w:p>
    <w:p w14:paraId="1291C04E" w14:textId="1419E440" w:rsidR="00CF5445" w:rsidRPr="00CF5445" w:rsidRDefault="00CF5445" w:rsidP="00CF5445">
      <w:r w:rsidRPr="00CF5445">
        <w:t>Logistická regrese poskytla přesnou kvantitativní metriku, dosahující přesnosti (</w:t>
      </w:r>
      <w:proofErr w:type="spellStart"/>
      <w:r w:rsidRPr="00CF5445">
        <w:t>Accuracy</w:t>
      </w:r>
      <w:proofErr w:type="spellEnd"/>
      <w:r w:rsidRPr="00CF5445">
        <w:t xml:space="preserve">) 77,33 % na testovací sadě, s vyváženým poměrem </w:t>
      </w:r>
      <w:proofErr w:type="spellStart"/>
      <w:r w:rsidRPr="00CF5445">
        <w:t>Precision</w:t>
      </w:r>
      <w:proofErr w:type="spellEnd"/>
      <w:r w:rsidRPr="00CF5445">
        <w:t xml:space="preserve"> (76,38 %) a </w:t>
      </w:r>
      <w:proofErr w:type="spellStart"/>
      <w:r w:rsidRPr="00CF5445">
        <w:t>Recall</w:t>
      </w:r>
      <w:proofErr w:type="spellEnd"/>
      <w:r w:rsidRPr="00CF5445">
        <w:t xml:space="preserve"> (71,85 %). Klasický model je tedy vysoce spolehlivý pro binární klasifikaci. </w:t>
      </w:r>
      <w:proofErr w:type="spellStart"/>
      <w:r w:rsidRPr="00CF5445">
        <w:t>Bayesovská</w:t>
      </w:r>
      <w:proofErr w:type="spellEnd"/>
      <w:r w:rsidRPr="00CF5445">
        <w:t xml:space="preserve"> síť (BN) sice neposkytuje jedinou metriku přesnosti celého modelu, ale z provedených scénářů je zřejmé, že její inference logicky a přesně odráží distribuci původních dat.</w:t>
      </w:r>
    </w:p>
    <w:p w14:paraId="535F5268" w14:textId="4B4BF041" w:rsidR="00CF5445" w:rsidRDefault="00CF5445" w:rsidP="00CF5445">
      <w:pPr>
        <w:pStyle w:val="Nadpis1"/>
      </w:pPr>
      <w:proofErr w:type="spellStart"/>
      <w:r w:rsidRPr="00CF5445">
        <w:t>Interpretovatelnost</w:t>
      </w:r>
      <w:proofErr w:type="spellEnd"/>
      <w:r w:rsidRPr="00CF5445">
        <w:rPr>
          <w:b/>
          <w:bCs/>
        </w:rPr>
        <w:t xml:space="preserve"> (</w:t>
      </w:r>
      <w:proofErr w:type="spellStart"/>
      <w:r w:rsidRPr="00CF5445">
        <w:t>Interpretability</w:t>
      </w:r>
      <w:proofErr w:type="spellEnd"/>
      <w:r w:rsidRPr="00CF5445">
        <w:rPr>
          <w:b/>
          <w:bCs/>
        </w:rPr>
        <w:t>)</w:t>
      </w:r>
      <w:r w:rsidRPr="00CF5445">
        <w:t xml:space="preserve"> </w:t>
      </w:r>
    </w:p>
    <w:p w14:paraId="6630AEB2" w14:textId="2C03CF21" w:rsidR="00CF5445" w:rsidRDefault="00CF5445" w:rsidP="00CF5445">
      <w:proofErr w:type="spellStart"/>
      <w:r w:rsidRPr="00CF5445">
        <w:t>Bayesovská</w:t>
      </w:r>
      <w:proofErr w:type="spellEnd"/>
      <w:r w:rsidRPr="00CF5445">
        <w:t xml:space="preserve"> síť v tomto ohledu výrazně dominuje. Její vizuální struktura (DAG) jasně ukazuje příčinné souvislosti – například jak </w:t>
      </w:r>
      <w:proofErr w:type="spellStart"/>
      <w:r w:rsidRPr="00CF5445">
        <w:t>Income</w:t>
      </w:r>
      <w:proofErr w:type="spellEnd"/>
      <w:r w:rsidRPr="00CF5445">
        <w:t xml:space="preserve"> a </w:t>
      </w:r>
      <w:proofErr w:type="spellStart"/>
      <w:r w:rsidRPr="00CF5445">
        <w:t>Debit</w:t>
      </w:r>
      <w:proofErr w:type="spellEnd"/>
      <w:r w:rsidRPr="00CF5445">
        <w:t xml:space="preserve"> společně ovlivňují </w:t>
      </w:r>
      <w:proofErr w:type="spellStart"/>
      <w:r w:rsidRPr="00CF5445">
        <w:t>RatioOfDebtsToIncome</w:t>
      </w:r>
      <w:proofErr w:type="spellEnd"/>
      <w:r w:rsidRPr="00CF5445">
        <w:t xml:space="preserve">, a jak se to dále propisuje do celkového </w:t>
      </w:r>
      <w:r w:rsidRPr="00CF5445">
        <w:t>rozhodnutí.</w:t>
      </w:r>
      <w:r w:rsidRPr="00CF5445">
        <w:t xml:space="preserve"> </w:t>
      </w:r>
      <w:r w:rsidRPr="00CF5445">
        <w:drawing>
          <wp:inline distT="0" distB="0" distL="0" distR="0" wp14:anchorId="292DF14E" wp14:editId="773597AD">
            <wp:extent cx="5731510" cy="3521075"/>
            <wp:effectExtent l="0" t="0" r="2540" b="3175"/>
            <wp:docPr id="14412269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26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9D6C" w14:textId="21697816" w:rsidR="00CF5445" w:rsidRPr="00CF5445" w:rsidRDefault="00CF5445" w:rsidP="00CF5445">
      <w:r w:rsidRPr="00CF5445">
        <w:t xml:space="preserve">Změny lze sledovat krok za krokem pomocí </w:t>
      </w:r>
      <w:r w:rsidRPr="00CF5445">
        <w:t>CPT.</w:t>
      </w:r>
      <w:r w:rsidRPr="00CF5445">
        <w:t xml:space="preserve"> Logistická regrese naproti tomu nabízí interpretaci pouze prostřednictvím vah koeficientů (). Náš model ukázal, že absolutně největší vliv na výsledek mají Reliability (1,53) a </w:t>
      </w:r>
      <w:proofErr w:type="spellStart"/>
      <w:r w:rsidRPr="00CF5445">
        <w:t>FutureIncome</w:t>
      </w:r>
      <w:proofErr w:type="spellEnd"/>
      <w:r w:rsidRPr="00CF5445">
        <w:t xml:space="preserve"> (1,48), ale nedokáže vysvětlit složitější řetězení vztahů mezi těmito proměnnými.</w:t>
      </w:r>
    </w:p>
    <w:p w14:paraId="293582CF" w14:textId="48607594" w:rsidR="00CF5445" w:rsidRDefault="00CF5445" w:rsidP="00CF5445">
      <w:pPr>
        <w:pStyle w:val="Nadpis1"/>
      </w:pPr>
      <w:r w:rsidRPr="00CF5445">
        <w:t>Práce s nejistotou (</w:t>
      </w:r>
      <w:proofErr w:type="spellStart"/>
      <w:r w:rsidRPr="00CF5445">
        <w:t>Working</w:t>
      </w:r>
      <w:proofErr w:type="spellEnd"/>
      <w:r w:rsidRPr="00CF5445">
        <w:t xml:space="preserve"> </w:t>
      </w:r>
      <w:proofErr w:type="spellStart"/>
      <w:r w:rsidRPr="00CF5445">
        <w:t>with</w:t>
      </w:r>
      <w:proofErr w:type="spellEnd"/>
      <w:r w:rsidRPr="00CF5445">
        <w:t xml:space="preserve"> </w:t>
      </w:r>
      <w:proofErr w:type="spellStart"/>
      <w:r w:rsidRPr="00CF5445">
        <w:t>Uncertainty</w:t>
      </w:r>
      <w:proofErr w:type="spellEnd"/>
      <w:r w:rsidRPr="00CF5445">
        <w:t xml:space="preserve">) </w:t>
      </w:r>
    </w:p>
    <w:p w14:paraId="0B2CDD07" w14:textId="192FBDB9" w:rsidR="00CF5445" w:rsidRDefault="00CF5445" w:rsidP="00CF5445">
      <w:r w:rsidRPr="00CF5445">
        <w:t xml:space="preserve">Klasický model je navržen tak, aby poskytoval bodovou predikci – na základě skrytého pravděpodobnostního výpočtu s konečnou platností klienta zařadí do třídy 0 nebo 1 </w:t>
      </w:r>
      <w:r w:rsidRPr="00CF5445">
        <w:lastRenderedPageBreak/>
        <w:t>(Negative nebo Positive</w:t>
      </w:r>
      <w:r w:rsidRPr="00CF5445">
        <w:t>).</w:t>
      </w:r>
      <w:r w:rsidRPr="00CF5445">
        <w:t xml:space="preserve"> </w:t>
      </w:r>
      <w:proofErr w:type="spellStart"/>
      <w:r w:rsidRPr="00CF5445">
        <w:t>Bayesovská</w:t>
      </w:r>
      <w:proofErr w:type="spellEnd"/>
      <w:r w:rsidRPr="00CF5445">
        <w:t xml:space="preserve"> síť naproti tomu pracuje výhradně s pravděpodobnostním rozdělením. Místo tvrdého rozhodnutí vrací míru jistoty (např. 85 % Positive, 15 % Negative), což je pro finanční instituce při řízení rizik mnohem užitečnější a realističtější přístup.</w:t>
      </w:r>
    </w:p>
    <w:p w14:paraId="0F62E9C1" w14:textId="1AEA6342" w:rsidR="00CF5445" w:rsidRPr="00CF5445" w:rsidRDefault="00CF5445" w:rsidP="00CF5445">
      <w:r w:rsidRPr="00CF5445">
        <w:drawing>
          <wp:inline distT="0" distB="0" distL="0" distR="0" wp14:anchorId="2CEE97D2" wp14:editId="4799B1B3">
            <wp:extent cx="5731510" cy="3662680"/>
            <wp:effectExtent l="0" t="0" r="2540" b="0"/>
            <wp:docPr id="6292353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35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2ED2" w14:textId="77777777" w:rsidR="00CF5445" w:rsidRDefault="00CF5445" w:rsidP="00CF5445">
      <w:pPr>
        <w:pStyle w:val="Nadpis1"/>
      </w:pPr>
      <w:r w:rsidRPr="00CF5445">
        <w:t xml:space="preserve">Flexibilita (Flexibility) </w:t>
      </w:r>
    </w:p>
    <w:p w14:paraId="42FFF894" w14:textId="60422657" w:rsidR="00CF5445" w:rsidRPr="00CF5445" w:rsidRDefault="00CF5445" w:rsidP="00CF5445">
      <w:r w:rsidRPr="00CF5445">
        <w:t xml:space="preserve">Logistická regrese je striktně jednosměrná a vyžaduje kompletní vektor vstupních dat pro výpočet </w:t>
      </w:r>
      <w:r w:rsidRPr="00CF5445">
        <w:t>predikce.</w:t>
      </w:r>
      <w:r w:rsidRPr="00CF5445">
        <w:t xml:space="preserve"> Pokud klient nedodá údaj o majetku (</w:t>
      </w:r>
      <w:proofErr w:type="spellStart"/>
      <w:r w:rsidRPr="00CF5445">
        <w:t>Assets</w:t>
      </w:r>
      <w:proofErr w:type="spellEnd"/>
      <w:r w:rsidRPr="00CF5445">
        <w:t xml:space="preserve">), model v Pythonu selže. </w:t>
      </w:r>
      <w:proofErr w:type="spellStart"/>
      <w:r w:rsidRPr="00CF5445">
        <w:t>Bayesovská</w:t>
      </w:r>
      <w:proofErr w:type="spellEnd"/>
      <w:r w:rsidRPr="00CF5445">
        <w:t xml:space="preserve"> síť je mnohem flexibilnější. Nevadí jí chybějící data (dokáže počítat s okrajovými pravděpodobnostmi) a umožňuje tzv. diagnostickou inferenci (</w:t>
      </w:r>
      <w:proofErr w:type="spellStart"/>
      <w:r w:rsidRPr="00CF5445">
        <w:t>diagnostic</w:t>
      </w:r>
      <w:proofErr w:type="spellEnd"/>
      <w:r w:rsidRPr="00CF5445">
        <w:t xml:space="preserve"> inference</w:t>
      </w:r>
      <w:r w:rsidRPr="00CF5445">
        <w:t>).</w:t>
      </w:r>
      <w:r w:rsidRPr="00CF5445">
        <w:t xml:space="preserve"> Můžeme například zadat evidenci, že klient je "Positive", a síť zpětně </w:t>
      </w:r>
      <w:r w:rsidRPr="00CF5445">
        <w:lastRenderedPageBreak/>
        <w:t>odhadne, jaký má pravděpodobně příjem nebo pracovní historii.</w:t>
      </w:r>
      <w:r w:rsidRPr="00CF5445">
        <w:rPr>
          <w:noProof/>
        </w:rPr>
        <w:t xml:space="preserve"> </w:t>
      </w:r>
      <w:r w:rsidRPr="00CF5445">
        <w:drawing>
          <wp:inline distT="0" distB="0" distL="0" distR="0" wp14:anchorId="2B69B648" wp14:editId="7100BAD3">
            <wp:extent cx="5731510" cy="4013835"/>
            <wp:effectExtent l="0" t="0" r="2540" b="5715"/>
            <wp:docPr id="5844934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93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43A7" w14:textId="77777777" w:rsidR="0045430D" w:rsidRDefault="0045430D"/>
    <w:sectPr w:rsidR="00454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34C7"/>
    <w:multiLevelType w:val="hybridMultilevel"/>
    <w:tmpl w:val="BFBE562E"/>
    <w:lvl w:ilvl="0" w:tplc="053AD9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71F8D"/>
    <w:multiLevelType w:val="hybridMultilevel"/>
    <w:tmpl w:val="1B3405DA"/>
    <w:lvl w:ilvl="0" w:tplc="053AD9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95382">
    <w:abstractNumId w:val="1"/>
  </w:num>
  <w:num w:numId="2" w16cid:durableId="209782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45"/>
    <w:rsid w:val="0045430D"/>
    <w:rsid w:val="00B239C3"/>
    <w:rsid w:val="00CF5445"/>
    <w:rsid w:val="00D5015A"/>
    <w:rsid w:val="00F0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FE43"/>
  <w15:chartTrackingRefBased/>
  <w15:docId w15:val="{CECB5973-D8B1-4DB3-B185-06518C38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F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F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F5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F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F5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F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F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F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F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5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F5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5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544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544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544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544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544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544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F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F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F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F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F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F544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F544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F544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F5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F544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F5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297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Antonín Višňák</dc:creator>
  <cp:keywords/>
  <dc:description/>
  <cp:lastModifiedBy>Antonín Višňák</cp:lastModifiedBy>
  <cp:revision>1</cp:revision>
  <dcterms:created xsi:type="dcterms:W3CDTF">2026-04-10T13:09:00Z</dcterms:created>
  <dcterms:modified xsi:type="dcterms:W3CDTF">2026-04-10T13:18:00Z</dcterms:modified>
</cp:coreProperties>
</file>