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1E3A5F" w:val="clear"/>
            <w:tcBorders>
              <w:top w:val="single" w:sz="8" w:color="1E3A5F"/>
              <w:left w:val="single" w:sz="8" w:color="1E3A5F"/>
              <w:bottom w:val="single" w:sz="8" w:color="1E3A5F"/>
              <w:right w:val="single" w:sz="8" w:color="1E3A5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GUÍA DE ESTUDIO ASÍNCRONA</w:t>
            </w:r>
          </w:p>
          <w:p>
            <w:pPr>
              <w:jc w:val="center"/>
            </w:pPr>
            <w:r>
              <w:rPr>
                <w:b/>
                <w:color w:val="DBEAFE"/>
                <w:sz w:val="26"/>
              </w:rPr>
              <w:t>Falla Ventilatoria Pediátrica — Manejo de la Vía Aérea</w:t>
            </w:r>
          </w:p>
          <w:p>
            <w:pPr>
              <w:spacing w:after="0"/>
              <w:jc w:val="center"/>
            </w:pPr>
            <w:r>
              <w:rPr>
                <w:color w:val="A0B4D0"/>
                <w:sz w:val="18"/>
              </w:rPr>
              <w:t>Hospital Simulado  ·  Universidad de La Sabana  ·  PALS 2025  ·  2026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BEAFE" w:val="clear"/>
            <w:tcBorders>
              <w:top w:val="single" w:sz="8" w:color="1D4ED8"/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ACTIVIDAD ASÍNCRONA — Taller de Falla Ventilatoria Pediátrica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Esta guía cubre los conceptos que trabajaremos en el taller presencial. Léela completa, realiza los cálculos de los casos propuestos y usa el simulador digital complementario disponible en la página de la rotación.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Tiempo estimado de estudio: 60–90 minutos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Contenido de esta guía</w:t>
      </w:r>
    </w:p>
    <w:p>
      <w:pPr>
        <w:pStyle w:val="ListBullet"/>
        <w:spacing w:after="40" w:before="0"/>
      </w:pPr>
      <w:r>
        <w:rPr>
          <w:sz w:val="20"/>
        </w:rPr>
        <w:t>Semiología respiratoria pediátrica — reconocimiento del patrón</w:t>
      </w:r>
    </w:p>
    <w:p>
      <w:pPr>
        <w:pStyle w:val="ListBullet"/>
        <w:spacing w:after="40" w:before="0"/>
      </w:pPr>
      <w:r>
        <w:rPr>
          <w:sz w:val="20"/>
        </w:rPr>
        <w:t>Origen de la falla ventilatoria: SNC, vía aérea superior, inferior y parénquima</w:t>
      </w:r>
    </w:p>
    <w:p>
      <w:pPr>
        <w:pStyle w:val="ListBullet"/>
        <w:spacing w:after="40" w:before="0"/>
      </w:pPr>
      <w:r>
        <w:rPr>
          <w:sz w:val="20"/>
        </w:rPr>
        <w:t>Dispositivos de administración de O₂ — bajo y alto flujo</w:t>
      </w:r>
    </w:p>
    <w:p>
      <w:pPr>
        <w:pStyle w:val="ListBullet"/>
        <w:spacing w:after="40" w:before="0"/>
      </w:pPr>
      <w:r>
        <w:rPr>
          <w:sz w:val="20"/>
        </w:rPr>
        <w:t>Dispositivos de ventilación a presión positiva</w:t>
      </w:r>
    </w:p>
    <w:p>
      <w:pPr>
        <w:pStyle w:val="ListBullet"/>
        <w:spacing w:after="40" w:before="0"/>
      </w:pPr>
      <w:r>
        <w:rPr>
          <w:sz w:val="20"/>
        </w:rPr>
        <w:t>Cálculos del tubo orotraqueal: tamaño y distancia de inserción</w:t>
      </w:r>
    </w:p>
    <w:p>
      <w:pPr>
        <w:pStyle w:val="ListBullet"/>
        <w:spacing w:after="40" w:before="0"/>
      </w:pPr>
      <w:r>
        <w:rPr>
          <w:sz w:val="20"/>
        </w:rPr>
        <w:t>Secuencia de intubación rápida (ISR) — premedicación y medicación</w:t>
      </w:r>
    </w:p>
    <w:p>
      <w:pPr>
        <w:pStyle w:val="ListBullet"/>
        <w:spacing w:after="40" w:before="0"/>
      </w:pPr>
      <w:r>
        <w:rPr>
          <w:sz w:val="20"/>
        </w:rPr>
        <w:t>Ventilación mecánica convencional básica</w:t>
      </w:r>
    </w:p>
    <w:p>
      <w:r>
        <w:br w:type="page"/>
      </w:r>
    </w:p>
    <w:p>
      <w:pPr>
        <w:spacing w:before="240" w:after="80"/>
        <w:pBdr>
          <w:bottom w:val="single" w:sz="6" w:color="1D4ED8" w:space="3"/>
        </w:pBdr>
      </w:pPr>
      <w:r>
        <w:rPr>
          <w:b/>
          <w:color w:val="1D4ED8"/>
          <w:sz w:val="26"/>
        </w:rPr>
        <w:t>1. Semiología respiratoria pediátrica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La evaluación respiratoria en pediatría sigue el orden del Triángulo de Evaluación Pediátrica (TEP) y la evaluación primaria ABCDE. Reconocer el patrón semiológico permite identificar el origen de la falla ventilatoria antes de cualquier examen complementario.</w:t>
      </w:r>
    </w:p>
    <w:p>
      <w:pPr>
        <w:spacing w:before="160" w:after="60"/>
      </w:pPr>
      <w:r>
        <w:rPr>
          <w:b/>
          <w:color w:val="1E3A5F"/>
          <w:sz w:val="22"/>
        </w:rPr>
        <w:t>1.1 Inspección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Signo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Significado clínico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Frecuencia respiratoria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Ver tabla por edad — contar 60 seg completos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Taquipnea = esfuerzo · Bradipnea = agotamiento o depresión SNC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Retracciones subcostales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Hundimiento bajo el reborde costal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Aumento del trabajo respiratorio — signo precoz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Retracciones intercostales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Hundimiento entre los espacios costales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o rigidez pulmonar moderada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Retracción supraesternal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Hundimiento encima del esternón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de vía aérea superior significativa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Retracción supraclavicular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Hundimiento sobre las clavículas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severa o rigidez pulmonar grave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Aleteo nasal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Apertura rítmica de las narinas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Esfuerzo respiratorio aumentado — más frecuente en lactantes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Uso de músculos accesorios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Esternocleidomastoideo · escalenos · trapecios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severa o trabajo respiratorio extremo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Respiración paradójica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El tórax se hunde al inspirar (balanceo toracoabdominal)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Agotamiento muscular — signo de inminencia de paro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Posición en trípode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Sentado con brazos apoyados hacia adelante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severa de vía aérea — maximiza la apertura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Quejido espiratorio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Ruido al final de la espiración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Auto-PEEP protector — signo de gravedad avanzada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1.2 Auscultación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Diagnóstico orientador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Murmullo vesicular normal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Ruido suave · inspiratorio &gt; espiratorio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Flujo aéreo en bronquíolos y alvéolos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Sibilancias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Ruido musical de tono agudo · espiratorias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difusa vía aérea inferior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Asma · bronquiolitis · broncoespasmo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Estridor inspiratorio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Ruido áspero · fase inspiratoria · audible sin fonendo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vía aérea superior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Crup · cuerpo extraño · angioedema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Estridor bifásico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Inspiratorio y espiratorio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a nivel glótico o subglótico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Epiglotitis · cuerpo extraño subglótico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Crépitos finos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Ruido como velcro al final de la inspiración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Apertura de alvéolos colapsados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Neumonía · edema pulmonar · atelectasia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Roncus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Ruido grave · cambia con la tos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Secreciones en vía aérea central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Bronquitis · infección respiratoria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Silencio auscultatorio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Ausencia de murmullo vesicular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Sin flujo de aire en la zona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EMERGENCIA: asma severa · neumotórax · atelectasia masiva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Soplo tubario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Ruido bronquial transmitido al parénquima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Condensación pulmonar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Neumonía bacteriana · síndrome de condensación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BEAFE" w:val="clear"/>
            <w:tcBorders>
              <w:top w:val="single" w:sz="8" w:color="1D4ED8"/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REGLA CLÍNICA CLAVE: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Sibilancias espiratorias → obstrucción INFERIOR (bronquíolos)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Estridor inspiratorio → obstrucción SUPERIOR (laringe/tráquea)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Silencio auscultatorio → NO es mejoría — es emergencia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Quejido espiratorio → el paciente está creando su propio PEEP para mantener alvéolos abiertos</w:t>
            </w:r>
          </w:p>
        </w:tc>
      </w:tr>
    </w:tbl>
    <w:p>
      <w:pPr>
        <w:spacing w:after="100"/>
      </w:pPr>
    </w:p>
    <w:p>
      <w:pPr>
        <w:spacing w:before="240" w:after="80"/>
        <w:pBdr>
          <w:bottom w:val="single" w:sz="6" w:color="1D4ED8" w:space="3"/>
        </w:pBdr>
      </w:pPr>
      <w:r>
        <w:rPr>
          <w:b/>
          <w:color w:val="1D4ED8"/>
          <w:sz w:val="26"/>
        </w:rPr>
        <w:t>2. Origen de la falla ventilatoria pediátrica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La falla ventilatoria puede originarse en cuatro niveles anatómicos. Identificar el origen orienta el tratamiento específico y la urgencia de escalada.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Signos clínicos característicos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Tratamiento clave</w:t>
            </w:r>
          </w:p>
        </w:tc>
      </w:tr>
      <w:tr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SNC</w:t>
              <w:br/>
              <w:t>(control ventilatorio)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Depresión del drive respiratorio → hipoventilación central · hipercapnia primaria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Bradipnea o apnea · sin esfuerzo respiratorio · sin retracciones · estado de conciencia alterado · AVPU &lt; A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Intoxicación (opioides · BZD · barbitúricos) · TCE · meningitis · encefalopatía hipóxico-isquémica · convulsiones prolongadas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Tratar la causa · soporte ventilatorio · antídotos si aplica (naloxona · flumazenil) · ISR si GCS ≤ 8</w:t>
            </w:r>
          </w:p>
        </w:tc>
      </w:tr>
      <w:tr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Vía aérea superior</w:t>
              <w:br/>
              <w:t>(VAS)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sobre la glotis o a nivel glótico/subglótico · aumento resistencia inspiratoria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Estridor INSPIRATORIO · posición compensadora · babeo (epiglotitis) · voz apagada o afónica · sin sibilancias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Crup (laringotraqueítis) · epiglotitis · cuerpo extraño supraglótico · angioedema · absceso retrofaríngeo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Adrenalina nebulizada · dexametasona · posición cómoda · NO explorar la garganta en epiglotitis · ISR urgente si deterioro</w:t>
            </w:r>
          </w:p>
        </w:tc>
      </w:tr>
      <w:tr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Vía aérea inferior</w:t>
              <w:br/>
              <w:t>(VAI)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Obstrucción bronquiolar difusa · atrapamiento aéreo · hiperinsuflación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Sibilancias ESPIRATORIAS · tórax hiperinsuflado · espiración prolongada · quejido · hipoxemia + riesgo hipercapnia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Asma aguda · bronquiolitis (VSR) · broncoespasmo por anafilaxia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Salbutamol · corticoides · MgSO₄ · ipratropio · O₂ · HELIOX si disponible · VNI en casos seleccionados</w:t>
            </w:r>
          </w:p>
        </w:tc>
      </w:tr>
      <w:tr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Parénquima pulmonar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Falla en el intercambio gaseoso → hipoxemia primaria · shunt intrapulmonar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Hipoxemia que mejora parcialmente con O₂ · crépitos · taquipnea · sin sibilancias ni estridor prominentes · Rx: infiltrados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Neumonía bacteriana o viral · SDRA pediátrico · edema pulmonar · contusión pulmonar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O₂ · CPAP/VNI · intubación en SDRA · tratar la causa (ATB · diuréticos según etiología)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EF3C7" w:val="clear"/>
            <w:tcBorders>
              <w:top w:val="single" w:sz="8" w:color="FCD34D"/>
              <w:left w:val="single" w:sz="8" w:color="FCD34D"/>
              <w:bottom w:val="single" w:sz="8" w:color="FCD34D"/>
              <w:right w:val="single" w:sz="8" w:color="FCD34D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CASO PARA REFLEXIÓN: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Nicolás, 3 años. Inicio súbito de estridor inspiratorio mientras comía. FR 40 rpm, SpO₂ 88% (Bogotá), sin fiebre, afónico.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¿Cuál es el nivel anatómico de la obstrucción?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¿Cuál es el diagnóstico más probable?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¿Cuál es tu primera acción?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240" w:after="80"/>
        <w:pBdr>
          <w:bottom w:val="single" w:sz="6" w:color="1D4ED8" w:space="3"/>
        </w:pBdr>
      </w:pPr>
      <w:r>
        <w:rPr>
          <w:b/>
          <w:color w:val="1D4ED8"/>
          <w:sz w:val="26"/>
        </w:rPr>
        <w:t>3. Dispositivos de administración de O₂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La selección del dispositivo correcto depende de la FiO₂ necesaria, la tolerancia del paciente y la gravedad. Se clasifican en sistemas de bajo flujo y alto flujo.</w:t>
      </w:r>
    </w:p>
    <w:p>
      <w:pPr>
        <w:spacing w:before="160" w:after="60"/>
      </w:pPr>
      <w:r>
        <w:rPr>
          <w:b/>
          <w:color w:val="1E3A5F"/>
          <w:sz w:val="22"/>
        </w:rPr>
        <w:t>3.1 Sistemas de bajo flujo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El gas entregado se mezcla con el aire ambiental durante la inspiración. La FiO₂ real es variable y depende del flujo, el patrón respiratorio y el tamaño del paciente.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Flujo (L/min)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FiO₂ aproximada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Indicación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Limitaciones</w:t>
            </w:r>
          </w:p>
        </w:tc>
      </w:tr>
      <w:tr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Cánula nasal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0.5–4 L/min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24–44%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Hipoxemia leve · paciente que no tolera mascarilla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FiO₂ impredecible · ineficaz si FR muy alta</w:t>
            </w:r>
          </w:p>
        </w:tc>
      </w:tr>
      <w:tr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Mascarilla facial simple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5–10 L/min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35–50%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Hipoxemia moderada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 usar &lt; 5 L/min — riesgo de reinhalación de CO₂</w:t>
            </w:r>
          </w:p>
        </w:tc>
      </w:tr>
      <w:tr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Mascarilla con reservorio</w:t>
              <w:br/>
              <w:t>(no reinhalación)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10–15 L/min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60–95%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Hipoxemia severa · falla ventilatoria moderada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Oclusión completa de válvulas — puede retener CO₂ si FR muy baja</w:t>
            </w:r>
          </w:p>
        </w:tc>
      </w:tr>
      <w:tr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Mascarilla Venturi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Variable según color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24–50% (precisa)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Pacientes que requieren FiO₂ exacta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Más compleja · no disponible en todos los servicios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3.2 Sistemas de alto flujo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Entregan un flujo mayor a la demanda inspiratoria del paciente. La FiO₂ es precisa, controlable y no se mezcla con el aire ambiental.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Flujo (L/min)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FiO₂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1915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Indicación pediátrica</w:t>
            </w:r>
          </w:p>
        </w:tc>
      </w:tr>
      <w:tr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OAF — Oxígeno de alto flujo</w:t>
              <w:br/>
              <w:t>(High Flow Nasal Cannula)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2–60 L/min (según peso)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21–100%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Gas humidificado y calentado entregado a flujo &gt; demanda inspiratoria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Bronquiolitis · neumonía · falla resp. moderada-severa · puente antes de VNI o intubación</w:t>
            </w:r>
          </w:p>
        </w:tc>
      </w:tr>
      <w:tr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CPAP con mascarilla</w:t>
              <w:br/>
              <w:t>o cánula nasal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21–100%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Presión positiva continua que mantiene alvéolos abiertos (evita colapso)</w:t>
            </w:r>
          </w:p>
        </w:tc>
        <w:tc>
          <w:tcPr>
            <w:tcW w:type="dxa" w:w="1915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Apnea del prematuro · edema pulmonar · atelectasia · bronquiolitis severa</w:t>
            </w:r>
          </w:p>
        </w:tc>
      </w:tr>
      <w:tr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BiPAP / VNI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21–100%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Dos niveles de presión: IPAP (inspiratoria) + EPAP (espiratoria)</w:t>
            </w:r>
          </w:p>
        </w:tc>
        <w:tc>
          <w:tcPr>
            <w:tcW w:type="dxa" w:w="1915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Asma severa · insuficiencia respiratoria hipercápnica · falla neuromuscular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1FAE5" w:val="clear"/>
            <w:tcBorders>
              <w:top w:val="single" w:sz="8" w:color="059669"/>
              <w:left w:val="single" w:sz="8" w:color="059669"/>
              <w:bottom w:val="single" w:sz="8" w:color="059669"/>
              <w:right w:val="single" w:sz="8" w:color="059669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OAF EN PEDIATRÍA — Dosis por peso: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Lactantes: 1–2 L/kg/min (máx 8–10 L/min en &lt; 10 kg)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Niños mayores: flujo suficiente para superar la demanda inspiratoria (puede llegar a 40–60 L/min)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Beneficios: reduce el trabajo respiratorio · genera PEEP leve · mejora el aclaramiento mucociliar · bien tolerado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Requiere: sistema Fisher &amp; Paykel o equivalente · humidificación activa</w:t>
            </w:r>
          </w:p>
        </w:tc>
      </w:tr>
    </w:tbl>
    <w:p>
      <w:pPr>
        <w:spacing w:after="100"/>
      </w:pPr>
    </w:p>
    <w:p>
      <w:pPr>
        <w:spacing w:before="240" w:after="80"/>
        <w:pBdr>
          <w:bottom w:val="single" w:sz="6" w:color="1D4ED8" w:space="3"/>
        </w:pBdr>
      </w:pPr>
      <w:r>
        <w:rPr>
          <w:b/>
          <w:color w:val="1D4ED8"/>
          <w:sz w:val="26"/>
        </w:rPr>
        <w:t>4. Dispositivos de ventilación a presión positiva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Consideraciones técnicas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BVM</w:t>
              <w:br/>
              <w:t>(Bolsa-Válvula-Mascarilla)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Sistema manual de 3 componentes: mascarilla · válvula unidireccional · bolsa autoinflable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Apnea · GCS ≤ 8 · SpO₂ &lt; 85% con O₂ máximo · puente a intubación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Técnica C-E · FR 12–20/min (1–8 años) · VT = elevación torácica visible · mínima presión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CPAP neonatal / pediátrico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Presión positiva continua mediante pronga nasal o mascarilla · sin ciclado mecánico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Apnea del prematuro · bronquiolitis · edema pulmonar · atelectasia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Presión inicial 5–6 cmH₂O · monitorear fugas · riesgo de distensión gástrica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BiPAP / VNI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Ventilación no invasiva con dos niveles de presión: IPAP y EPAP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Asma severa · hipercapnia progresiva · falla neuromuscular · puente a intubación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IPAP 8–16 cmH₂O · EPAP 4–8 cmH₂O · titular según respuesta clínica y gasometría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Ventilador mecánico invasivo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Ventilación controlada o asistida mediante TET o traqueostomía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Falla ventilatoria que no responde a medidas no invasivas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Ver sección 7 — parámetros básicos de VM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Máscara laríngea (ML)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Dispositivo supraglótico que sella la hipofaringe sin laringoscopia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Vía aérea difícil · puente a intubación · neonatos ≥ 34 sem en NRP 2025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 aísla completamente la vía aérea · no usar si hay riesgo de aspiración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240" w:after="80"/>
        <w:pBdr>
          <w:bottom w:val="single" w:sz="6" w:color="1D4ED8" w:space="3"/>
        </w:pBdr>
      </w:pPr>
      <w:r>
        <w:rPr>
          <w:b/>
          <w:color w:val="1D4ED8"/>
          <w:sz w:val="26"/>
        </w:rPr>
        <w:t>5. Cálculos del tubo orotraqueal (TOT) en pediatría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Los cálculos correctos del TOT son una habilidad fundamental antes de cualquier intubación. Siempre tener disponible el tubo calculado, uno número mayor y uno número menor.</w:t>
      </w:r>
    </w:p>
    <w:p>
      <w:pPr>
        <w:spacing w:before="160" w:after="60"/>
      </w:pPr>
      <w:r>
        <w:rPr>
          <w:b/>
          <w:color w:val="1E3A5F"/>
          <w:sz w:val="22"/>
        </w:rPr>
        <w:t>5.1 Tamaño del tubo orotraqueal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Ejemplo (4 años)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TOT sin balón: (Edad/4) + 4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Niños de 1 a 8 años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(4/4) + 4 = 5.0 mm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TOT con balón: (Edad/4) + 3.5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Niños de 1 a 8 años (PALS 2025 — preferido)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(4/4) + 3.5 = 4.5 mm con balón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RN a término: 3.5 mm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Neonatos ≥ 37 semanas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3.5 mm sin balón (NRP 2025)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RN pretérmino: 2.5–3.0 mm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Neonatos &lt; 37 semanas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Según peso y EG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Referencia por dedo meñique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Diámetro externo ≈ dedo meñique del paciente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Útil cuando no se conoce la edad exacta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BEAFE" w:val="clear"/>
            <w:tcBorders>
              <w:top w:val="single" w:sz="8" w:color="1D4ED8"/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PALS 2025 RECOMIENDA TOT CON BALÓN en niños mayores de 1 año: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Permite mejor sellado con menor presión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Reduce la necesidad de cambio de tubo por fuga excesiva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Inflar el balón con la presión mínima para evitar fuga (objetivo: &lt; 20–25 cmH₂O)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Verificar presión del balón con manómetro — no inflar "hasta que no escape"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5.2 Distancia de inserción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Ejemplo (4 años)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Distancia oral: (Edad/2) + 12 cm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Niños de 1 a 8 años — desde la comisura labial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(4/2) + 12 = 14 cm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Distancia nasal: (Edad/2) + 15 cm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Intubación nasotraqueal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(4/2) + 15 = 17 cm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RN a término: 9–10 cm desde labio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Neonato a término · ajustar por peso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7 cm + peso en kg (regla de Tochen)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Regla de Tochen (neonatos)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7 + peso en kg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RN 3 kg: 7 + 3 = 10 cm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Referencia: número del tubo × 3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Estimación rápida en emergencia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Tubo 4.5 → 4.5 × 3 = 13.5 cm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1FAE5" w:val="clear"/>
            <w:tcBorders>
              <w:top w:val="single" w:sz="8" w:color="059669"/>
              <w:left w:val="single" w:sz="8" w:color="059669"/>
              <w:bottom w:val="single" w:sz="8" w:color="059669"/>
              <w:right w:val="single" w:sz="8" w:color="059669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VERIFICACIÓN DE POSICIÓN DEL TOT — en orden: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1. Visualización directa: ver el tubo pasar por las cuerdas vocales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2. Elevación torácica bilateral simétrica con la ventilación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3. Auscultación: MV simétrico en ambos campos · ausencia de ruido en epigastrio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4. Capnografía o colorimetría de CO₂ al final de la espiración (EtCO₂)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5. Radiografía de tórax: punta del tubo a 1–2 cm por encima de la carina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SIEMPRE fijar el tubo antes de confirmar con Rx — la posición puede cambiar con la movilización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Casos prácticos — Calcula antes de ver la 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Datos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¿Qué calcular?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Caso 1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Sofía, 2 años, 12 kg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Tamaño del TOT con balón · Distancia de inserción oral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Caso 2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Mateo, 6 años, 22 kg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Tamaño del TOT con balón · Distancia de inserción oral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Caso 3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RN de 38 sem, 3.2 kg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Tamaño del TOT · Distancia de inserción por Tochen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Caso 4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Adolescente 14 años, 55 kg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Tamaño del TOT · Distancia de inserción oral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9FAFB" w:val="clea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RESPUESTAS: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Caso 1: TOT 4.0 mm con balón · distancia 13 cm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Caso 2: TOT 5.0 mm con balón · distancia 15 cm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Caso 3: TOT 3.5 mm sin balón · distancia 10.2 cm (Tochen: 7+3.2)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Caso 4: TOT 7.0 mm con balón (adulto) · distancia 19 cm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240" w:after="80"/>
        <w:pBdr>
          <w:bottom w:val="single" w:sz="6" w:color="1D4ED8" w:space="3"/>
        </w:pBdr>
      </w:pPr>
      <w:r>
        <w:rPr>
          <w:b/>
          <w:color w:val="1D4ED8"/>
          <w:sz w:val="26"/>
        </w:rPr>
        <w:t>6. Secuencia de Intubación Rápida (ISR)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EF3C7" w:val="clear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IMPORTANTE: La ISR es una competencia del médico especialista (anestesiología · intensivismo · emergenciólogo entrenado).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El médico general debe RECONOCER la indicación, mantener la ventilación con BVM y PREPARAR el terreno.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Esta sección es conocimiento teórico — te permite entender el proceso, colaborar con el equipo y preparar los fármacos correctamente.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6.1 Indicaciones de ISR</w:t>
      </w:r>
    </w:p>
    <w:p>
      <w:pPr>
        <w:pStyle w:val="ListBullet"/>
        <w:spacing w:after="40" w:before="0"/>
      </w:pPr>
      <w:r>
        <w:rPr>
          <w:sz w:val="20"/>
        </w:rPr>
        <w:t>GCS ≤ 8 o deterioro neurológico progresivo</w:t>
      </w:r>
    </w:p>
    <w:p>
      <w:pPr>
        <w:pStyle w:val="ListBullet"/>
        <w:spacing w:after="40" w:before="0"/>
      </w:pPr>
      <w:r>
        <w:rPr>
          <w:sz w:val="20"/>
        </w:rPr>
        <w:t>Apnea o bradipnea con agotamiento muscular</w:t>
      </w:r>
    </w:p>
    <w:p>
      <w:pPr>
        <w:pStyle w:val="ListBullet"/>
        <w:spacing w:after="40" w:before="0"/>
      </w:pPr>
      <w:r>
        <w:rPr>
          <w:sz w:val="20"/>
        </w:rPr>
        <w:t>SpO₂ &lt; 85% con O₂ máximo y BVM</w:t>
      </w:r>
    </w:p>
    <w:p>
      <w:pPr>
        <w:pStyle w:val="ListBullet"/>
        <w:spacing w:after="40" w:before="0"/>
      </w:pPr>
      <w:r>
        <w:rPr>
          <w:sz w:val="20"/>
        </w:rPr>
        <w:t>Falla ventilatoria refractaria al tratamiento médico</w:t>
      </w:r>
    </w:p>
    <w:p>
      <w:pPr>
        <w:pStyle w:val="ListBullet"/>
        <w:spacing w:after="40" w:before="0"/>
      </w:pPr>
      <w:r>
        <w:rPr>
          <w:sz w:val="20"/>
        </w:rPr>
        <w:t>Necesidad de protección de vía aérea (vómitos activos, sangrado, inconsciencia)</w:t>
      </w:r>
    </w:p>
    <w:p>
      <w:pPr>
        <w:spacing w:after="60"/>
      </w:pPr>
    </w:p>
    <w:p>
      <w:pPr>
        <w:spacing w:before="160" w:after="60"/>
      </w:pPr>
      <w:r>
        <w:rPr>
          <w:b/>
          <w:color w:val="1E3A5F"/>
          <w:sz w:val="22"/>
        </w:rPr>
        <w:t>6.2 Los 7 pasos de la ISR — los '7 P'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1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Preparación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Equipo: laringoscopio · TET (calculado ±1) · aspirador · BVM · fármacos preparados y rotulados · monitoreo completo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5–10 min antes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2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Preoxigenación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O₂ al 100% por mascarilla con reservorio o BVM pasiva · 3–5 minutos · SpO₂ objetivo &gt; 94% antes de intubar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3–5 min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3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Premedicación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Fármacos opcionales según el contexto — ver tabla 6.3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 min antes de la inducción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4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Parálisis e inducción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Inductor + paralizante simultáneos o inductor primero · pérdida del conocimiento en 30–60 seg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 = 0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5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Posición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Posición olfateando (sniffing) · rollo bajo el occipucio en niños mayores · posición neutra en lactantes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Simultáneo con paso 4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6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Laringoscopia e intubación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Laringoscopia directa o videolaringoscopia · visualizar cuerdas vocales · pasar el tubo · inflar balón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&lt; 30 seg de apnea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7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Post-intubación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Verificar posición · fijar tubo · iniciar VM · sedar para mantenimiento · capnografía continua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Inmediato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6.3 Premedicación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Fármacos opcionales administrados 3 minutos antes de la inducción para atenuar las respuestas fisiológicas adversas de la laringoscopia.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Fármaco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Dosis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Indicación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Efecto buscado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Atropina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0.02 mg/kg IV (mín 0.1 mg · máx 0.5 mg)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Lactantes &lt; 1 año · uso de succinilcolina · bradicardia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Prevenir bradicardia refleja por laringoscopia o succinilcolina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Lidocaína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1–2 mg/kg IV en 2–3 min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HTE · asma (controvertido)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Atenuar respuesta hipertensiva y broncoespasmo · reduce PIC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Fentanilo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1–3 mcg/kg IV lento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HTE · respuesta adrenérgica marcada · dolor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Bloquear respuesta simpática a la laringoscopia · analgesia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6.4 Inducción — inductores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Inductor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Dosis pediátrica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Primera elección en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Contraindicaciones / precaución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Ketamina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1–2 mg/kg IV (IM: 4–6 mg/kg)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Asma · broncoespasmo · shock · paciente inestable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HTE severa (relativa) · combinar con BZD si hay delirio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Propofol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1.5–3 mg/kg IV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Paciente estable · sin broncoespasmo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Hipotensión · apnea · no usar en shock · dolor en la vena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Etomidato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0.3 mg/kg IV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Inestabilidad hemodinámica · trauma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Supresión adrenal (dosis única) · no disponible en todos los centros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Midazolam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0.1–0.3 mg/kg IV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Alternativa cuando no hay otros inductores disponibles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Deprime la PA · efecto lento · no es inductor de primera línea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Tiopental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3–5 mg/kg IV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HTE severa (reduce PIC)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Hipotensión severa · no usar en shock · broncoespasmo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1FAE5" w:val="clear"/>
            <w:tcBorders>
              <w:top w:val="single" w:sz="8" w:color="059669"/>
              <w:left w:val="single" w:sz="8" w:color="059669"/>
              <w:bottom w:val="single" w:sz="8" w:color="059669"/>
              <w:right w:val="single" w:sz="8" w:color="059669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KETAMINA en asma: inductor de PRIMERA ELECCIÓN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Mecanismo: bloqueo de receptores NMDA + estimulación simpática → broncodilatación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Mantiene el drive respiratorio y los reflejos de vía aérea mejor que otros inductores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Puede producir hipersecreciones → premedicar con atropina si es posible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Produce disociación (no anestesia general completa) → combinar con BZD para sedación mantenida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6.5 Paralizantes neuromusculares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type="dxa" w:w="1596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Paralizante</w:t>
            </w:r>
          </w:p>
        </w:tc>
        <w:tc>
          <w:tcPr>
            <w:tcW w:type="dxa" w:w="1596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96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Dosis</w:t>
            </w:r>
          </w:p>
        </w:tc>
        <w:tc>
          <w:tcPr>
            <w:tcW w:type="dxa" w:w="1596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596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596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Elección en</w:t>
            </w:r>
          </w:p>
        </w:tc>
      </w:tr>
      <w:tr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Rocuronio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 despolarizante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1–1.2 mg/kg IV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45–60 seg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30–60 min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Primera línea · reversible con sugammadex</w:t>
            </w:r>
          </w:p>
        </w:tc>
      </w:tr>
      <w:tr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Succinilcolina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Despolarizante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1–2 mg/kg IV (&lt; 10 kg: 2 mg/kg)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30–45 seg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10–15 min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Vía aérea difícil conocida · duración corta necesaria</w:t>
            </w:r>
          </w:p>
        </w:tc>
      </w:tr>
      <w:tr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Vecuronio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 despolarizante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0.1–0.2 mg/kg IV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2–3 min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30–40 min</w:t>
            </w:r>
          </w:p>
        </w:tc>
        <w:tc>
          <w:tcPr>
            <w:tcW w:type="dxa" w:w="15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Alternativa si no hay rocuronio</w:t>
            </w:r>
          </w:p>
        </w:tc>
      </w:tr>
      <w:tr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Cisatracurio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 despolarizante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0.1–0.2 mg/kg IV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2–3 min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40–60 min</w:t>
            </w:r>
          </w:p>
        </w:tc>
        <w:tc>
          <w:tcPr>
            <w:tcW w:type="dxa" w:w="1596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Falla renal o hepática (metabolismo independiente de órganos)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EE2E2" w:val="clear"/>
            <w:tcBorders>
              <w:top w:val="single" w:sz="8" w:color="DC2626"/>
              <w:left w:val="single" w:sz="8" w:color="DC2626"/>
              <w:bottom w:val="single" w:sz="8" w:color="DC2626"/>
              <w:right w:val="single" w:sz="8" w:color="DC2626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SUCCINILCOLINA — CONTRAINDICACIONES ABSOLUTAS: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Hiperpotasemia conocida o sospechada (quemados · aplastamiento · denervación · rabdomiólisis)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Miopatías congénitas · distrofia muscular (riesgo de rabdomiólisis masiva)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Historia personal o familiar de hipertermia maligna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Antídoto para rocuronio: SUGAMMADEX 16 mg/kg IV — reversión en &lt; 3 min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240" w:after="80"/>
        <w:pBdr>
          <w:bottom w:val="single" w:sz="6" w:color="1D4ED8" w:space="3"/>
        </w:pBdr>
      </w:pPr>
      <w:r>
        <w:rPr>
          <w:b/>
          <w:color w:val="1D4ED8"/>
          <w:sz w:val="26"/>
        </w:rPr>
        <w:t>7. Ventilación mecánica convencional básica</w:t>
      </w:r>
    </w:p>
    <w:p>
      <w:pPr>
        <w:spacing w:after="100" w:before="0"/>
        <w:jc w:val="both"/>
      </w:pPr>
      <w:r>
        <w:rPr>
          <w:b w:val="0"/>
          <w:i w:val="0"/>
          <w:sz w:val="21"/>
        </w:rPr>
        <w:t>El objetivo de la ventilación mecánica es mantener el intercambio gaseoso adecuado con el menor daño pulmonar posible (ventilación protectora). Los parámetros se ajustan según la patología subyacente.</w:t>
      </w:r>
    </w:p>
    <w:p>
      <w:pPr>
        <w:spacing w:before="160" w:after="60"/>
      </w:pPr>
      <w:r>
        <w:rPr>
          <w:b/>
          <w:color w:val="1E3A5F"/>
          <w:sz w:val="22"/>
        </w:rPr>
        <w:t>7.1 Modos de ventilación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VCV — Volumen controlado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El ventilador entrega un VT fijo en cada ciclo · la presión varía según la compliance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Primera línea en niños intubados · control preciso del VT · vigilar presiones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PCV — Presión controlada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El ventilador entrega una presión fija · el VT varía según compliance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Pulmones muy rígidos (SDRA) · neonatos · cuando VCV genera presiones excesivas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SIMV — Ventilación mandatoria intermitente sincronizada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Combina respiraciones controladas con esfuerzo espontáneo del paciente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Destete ventilatorio · transición a extubación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PS — Soporte de presión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El ventilador amplifica el esfuerzo espontáneo del paciente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Destete · paciente que respira pero con fatiga muscular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7.2 Parámetros iniciales — ventilación protectora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Valor inicial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Ajuste posterior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Volumen tidal (VT)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6–8 mL/kg de peso ideal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↑ si SpO₂ baja y no hay riesgo de barotrauma · ↓ en SDRA hasta 4–6 mL/kg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Elevación torácica visible · evitar sobredistensión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Frecuencia respiratoria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Lactantes: 30–40/min · Niños: 20–30/min · &gt; 8 años: 15–20/min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↑ si PaCO₂ elevada · ↓ en asma (dar tiempo espiratorio)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PaCO₂ 35–45 mmHg (o hipercapnia permisiva en asma)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PEEP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4–6 cmH₂O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↑ en SDRA (hasta 8–15 cmH₂O) · ↓ en asma (3–4 cmH₂O)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Mantener alvéolos abiertos · evitar colapso espiratorio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FiO₂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Inicial al 100% · titular inmediatamente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↓ para mantener SpO₂ 94–98% · evitar hiperoxia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SpO₂ 94–98% · PaO₂ 60–80 mmHg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Relación I:E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1:2 en la mayoría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1:3 a 1:4 en asma (más tiempo espiratorio) · 1:1–1:1.5 en SDRA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Evitar air trapping · hiperinsuflación dinámica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Presión meseta (plateau)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&lt; 30 cmH₂O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Si &gt; 30 → reducir VT o FR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Prevenir barotrauma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7.3 Estrategias especiales por patología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Patología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Estrategia ventilatoria</w:t>
            </w:r>
          </w:p>
        </w:tc>
        <w:tc>
          <w:tcPr>
            <w:tcW w:type="dxa" w:w="3192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Parámetros clave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Asma / broncoespasmo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Hipercapnia permisiva · tiempo espiratorio prolongado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FR baja · I:E 1:3–1:4 · PEEP 3–5 · VT 6–8 mL/kg · aceptar PaCO₂ hasta 60–80 si pH &gt; 7.20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SDRA pediátrico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Ventilación ultra-protectora · reclutamiento alveolar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VT 4–6 mL/kg · PEEP alto 8–15 · FiO₂ mínima · decúbito prono en SDRA severo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HTE / TCE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Normoventilar · evitar hipercapnia e hipoxia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PaCO₂ 35–40 mmHg · PaO₂ &gt; 60 · hiperventilación solo si herniación inminente</w:t>
            </w:r>
          </w:p>
        </w:tc>
      </w:tr>
      <w:tr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Neumonía sin SDRA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Ventilación convencional · tratar la causa</w:t>
            </w:r>
          </w:p>
        </w:tc>
        <w:tc>
          <w:tcPr>
            <w:tcW w:type="dxa" w:w="3192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Parámetros estándar · ATB · fisioterapia respiratoria</w:t>
            </w:r>
          </w:p>
        </w:tc>
      </w:tr>
      <w:tr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Neonatal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Presiones bajas · VT muy ajustado</w:t>
            </w:r>
          </w:p>
        </w:tc>
        <w:tc>
          <w:tcPr>
            <w:tcW w:type="dxa" w:w="3192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VT 4–6 mL/kg · PIP inicial 16–20 cmH₂O · PEEP 4–5 · FR 40–60/min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7.4 Mnemotecnia DOPE — alarmas en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Letra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Signos</w:t>
            </w:r>
          </w:p>
        </w:tc>
        <w:tc>
          <w:tcPr>
            <w:tcW w:type="dxa" w:w="2394"/>
            <w:shd w:fill="1E3A5F" w:val="clear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D — Desplazamiento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TET fuera de posición (extubación o intubación selectiva)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MV asimétrico · SpO₂ ↓ · EtCO₂ ↓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Laringoscopia · reposicionar TET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O — Obstrucción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Tapón de moco · doblez del tubo · morder el TET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↑ Presión pico · sin flujo espiratorio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Aspirar · enderezar · cánula de Guedel</w:t>
            </w:r>
          </w:p>
        </w:tc>
      </w:tr>
      <w:tr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P — Neumotórax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Barotrauma por presiones altas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↑ Pico + hipotensión + MV asimétrico</w:t>
            </w:r>
          </w:p>
        </w:tc>
        <w:tc>
          <w:tcPr>
            <w:tcW w:type="dxa" w:w="23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Descompresión con aguja SIN esperar Rx</w:t>
            </w:r>
          </w:p>
        </w:tc>
      </w:tr>
      <w:tr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b/>
                <w:color w:val="1E3A5F"/>
                <w:sz w:val="18"/>
              </w:rPr>
              <w:t>E — Equipo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Falla del ventilador · desconexión · fuga de circuito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Alarmas · paciente no ventila</w:t>
            </w:r>
          </w:p>
        </w:tc>
        <w:tc>
          <w:tcPr>
            <w:tcW w:type="dxa" w:w="2394"/>
            <w:shd w:fill="F9FA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Desconectar → BVM manual → revisar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EF3C7" w:val="clear"/>
            <w:tcBorders>
              <w:top w:val="single" w:sz="8" w:color="FCD34D"/>
              <w:left w:val="single" w:sz="8" w:color="FCD34D"/>
              <w:bottom w:val="single" w:sz="8" w:color="FCD34D"/>
              <w:right w:val="single" w:sz="8" w:color="FCD34D"/>
            </w:tcBorders>
          </w:tcPr>
          <w:p>
            <w:pPr>
              <w:spacing w:after="40"/>
              <w:jc w:val="both"/>
            </w:pPr>
            <w:r>
              <w:rPr>
                <w:b/>
                <w:sz w:val="20"/>
              </w:rPr>
              <w:t>CASO PARA REFLEXIÓN: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Laura, 7 años, 23 kg. Intubada por asma severa. VM con VT 8 mL/kg, FR 25/min, PEEP 8, FiO₂ 60%.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A los 20 min: presión pico sube de 28 a 45 cmH₂O, SpO₂ baja a 80%, PA 60/35 mmHg, MV ausente en hemitórax derecho.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¿Cuál es el diagnóstico más probable?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¿Cuál es tu acción inmediata?</w:t>
            </w:r>
          </w:p>
          <w:p>
            <w:pPr>
              <w:spacing w:after="40"/>
              <w:jc w:val="both"/>
            </w:pPr>
            <w:r>
              <w:rPr>
                <w:sz w:val="20"/>
              </w:rPr>
              <w:t>· ¿Qué parámetros del ventilador habrían contribuido a esta complicación?</w:t>
            </w:r>
          </w:p>
        </w:tc>
      </w:tr>
    </w:tbl>
    <w:p>
      <w:pPr>
        <w:spacing w:after="120"/>
      </w:pPr>
    </w:p>
    <w:p>
      <w:pPr>
        <w:spacing w:after="100" w:before="0"/>
        <w:jc w:val="center"/>
      </w:pPr>
      <w:r>
        <w:rPr>
          <w:b w:val="0"/>
          <w:i w:val="0"/>
          <w:color w:val="6B7280"/>
          <w:sz w:val="18"/>
        </w:rPr>
        <w:t>Dr. Eduardo Acuña De La Rosa  ·  Hospital Simulado  ·  Universidad de La Sabana  ·  PALS 2025  ·  2026</w:t>
      </w:r>
    </w:p>
    <w:sectPr w:rsidR="00FC693F" w:rsidRPr="0006063C" w:rsidSect="00034616"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