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Análisis de necesidades y recursos</w:t>
      </w:r>
    </w:p>
    <w:p>
      <w:r>
        <w:rPr>
          <w:b/>
          <w:sz w:val="18"/>
        </w:rPr>
        <w:t>KSSN / SCHOOL</w:t>
      </w:r>
    </w:p>
    <w:p>
      <w:r>
        <w:t>Úselo para comprender necesidades recurrentes de la escuela/comunidad y los recursos ya disponibles.</w:t>
      </w:r>
    </w:p>
    <w:p>
      <w:r>
        <w:rPr>
          <w:b/>
          <w:sz w:val="28"/>
        </w:rPr>
        <w:t>Le ayuda a decidir</w:t>
      </w:r>
    </w:p>
    <w:p>
      <w:r>
        <w:t>Usar necesidades y recursos para orientar la estrategia de Escuela Comunitaria.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¿Qué necesidades se repiten?</w:t>
      </w:r>
    </w:p>
    <w:p>
      <w:pPr>
        <w:pStyle w:val="ListBullet"/>
      </w:pPr>
      <w:r>
        <w:t>¿Qué voz de estudiantes/familias tenemos?</w:t>
      </w:r>
    </w:p>
    <w:p>
      <w:pPr>
        <w:pStyle w:val="ListBullet"/>
      </w:pPr>
      <w:r>
        <w:t>¿Qué recursos ya existen?</w:t>
      </w:r>
    </w:p>
    <w:p>
      <w:pPr>
        <w:pStyle w:val="ListBullet"/>
      </w:pPr>
      <w:r>
        <w:t>¿Dónde hay brechas o duplicación?</w:t>
      </w:r>
    </w:p>
    <w:p>
      <w:pPr>
        <w:pStyle w:val="ListBullet"/>
      </w:pPr>
      <w:r>
        <w:t>¿Qué debe alinearse, fortalecerse o desarrollarse?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