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Conversación de apoyo</w:t>
      </w:r>
    </w:p>
    <w:p>
      <w:r>
        <w:rPr>
          <w:b/>
          <w:sz w:val="18"/>
        </w:rPr>
        <w:t>FSS / SHARED</w:t>
      </w:r>
    </w:p>
    <w:p>
      <w:r>
        <w:t>Úsela cuando la perspectiva o necesidad del estudiante o la familia aún no esté clara.</w:t>
      </w:r>
    </w:p>
    <w:p>
      <w:r>
        <w:rPr>
          <w:b/>
          <w:sz w:val="28"/>
        </w:rPr>
        <w:t>Le ayuda a decidir</w:t>
      </w:r>
    </w:p>
    <w:p>
      <w:r>
        <w:t>Aclarar qué está viviendo el estudiante/la familia y qué debe suceder después.</w:t>
      </w:r>
    </w:p>
    <w:p>
      <w:r>
        <w:rPr>
          <w:b/>
          <w:sz w:val="28"/>
        </w:rPr>
        <w:t>Preguntas de trabajo</w:t>
      </w:r>
    </w:p>
    <w:p>
      <w:pPr>
        <w:pStyle w:val="ListBullet"/>
      </w:pPr>
      <w:r>
        <w:t>Comprender antes de resolver.</w:t>
      </w:r>
    </w:p>
    <w:p>
      <w:pPr>
        <w:pStyle w:val="ListBullet"/>
      </w:pPr>
      <w:r>
        <w:t>Identificar fortalezas, esperanzas, necesidades y barreras.</w:t>
      </w:r>
    </w:p>
    <w:p>
      <w:pPr>
        <w:pStyle w:val="ListBullet"/>
      </w:pPr>
      <w:r>
        <w:t>Llegar a un próximo paso compartido.</w:t>
      </w:r>
    </w:p>
    <w:p>
      <w:r>
        <w:rPr>
          <w:b/>
          <w:sz w:val="28"/>
        </w:rPr>
        <w:t>Notas de trabajo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Esta guía de trabajo no reemplaza la documentación ni los procesos de equipo requeridos por GRPS.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