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Explorador de necesidades y barreras</w:t>
      </w:r>
    </w:p>
    <w:p>
      <w:r>
        <w:rPr>
          <w:b/>
          <w:sz w:val="18"/>
        </w:rPr>
        <w:t>ALL ROLES</w:t>
      </w:r>
    </w:p>
    <w:p>
      <w:r>
        <w:t>Úselo cuando la preocupación inicial puede no ser el problema subyacente.</w:t>
      </w:r>
    </w:p>
    <w:p>
      <w:r>
        <w:rPr>
          <w:b/>
          <w:sz w:val="28"/>
        </w:rPr>
        <w:t>Le ayuda a decidir</w:t>
      </w:r>
    </w:p>
    <w:p>
      <w:r>
        <w:t>Pasar de una preocupación inicial a una hipótesis de trabajo más clara.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Nombre lo que está observando.</w:t>
      </w:r>
    </w:p>
    <w:p>
      <w:pPr>
        <w:pStyle w:val="ListBullet"/>
      </w:pPr>
      <w:r>
        <w:t>Agregue la voz del estudiante/familia y la evidencia disponible.</w:t>
      </w:r>
    </w:p>
    <w:p>
      <w:pPr>
        <w:pStyle w:val="ListBullet"/>
      </w:pPr>
      <w:r>
        <w:t>Identifique si la causa está en la familia/comunidad, la escuela o ambas.</w:t>
      </w:r>
    </w:p>
    <w:p>
      <w:pPr>
        <w:pStyle w:val="ListBullet"/>
      </w:pPr>
      <w:r>
        <w:t>Desarrolle una hipótesis de trabajo.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